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08A81" w14:textId="77777777" w:rsidR="000C29A2" w:rsidRDefault="004564DF">
      <w:pPr>
        <w:rPr>
          <w:rFonts w:ascii="Times New Roman" w:eastAsia="宋体" w:hAnsi="Times New Roman"/>
          <w:b/>
          <w:bCs/>
          <w:sz w:val="24"/>
        </w:rPr>
      </w:pPr>
      <w:r>
        <w:rPr>
          <w:rFonts w:ascii="Times New Roman" w:eastAsia="宋体" w:hAnsi="Times New Roman" w:hint="eastAsia"/>
          <w:b/>
          <w:bCs/>
          <w:sz w:val="24"/>
        </w:rPr>
        <w:t>供货要求：</w:t>
      </w:r>
    </w:p>
    <w:p w14:paraId="3EA06BD1" w14:textId="77777777" w:rsidR="000C29A2" w:rsidRDefault="004564DF">
      <w:pPr>
        <w:rPr>
          <w:rFonts w:ascii="Times New Roman" w:eastAsia="宋体" w:hAnsi="Times New Roman"/>
          <w:sz w:val="22"/>
          <w:szCs w:val="22"/>
        </w:rPr>
      </w:pPr>
      <w:r>
        <w:rPr>
          <w:rFonts w:ascii="Times New Roman" w:eastAsia="宋体" w:hAnsi="Times New Roman" w:hint="eastAsia"/>
          <w:sz w:val="22"/>
          <w:szCs w:val="22"/>
        </w:rPr>
        <w:t>1.</w:t>
      </w:r>
      <w:r>
        <w:rPr>
          <w:rFonts w:ascii="Times New Roman" w:eastAsia="宋体" w:hAnsi="Times New Roman" w:hint="eastAsia"/>
          <w:sz w:val="22"/>
          <w:szCs w:val="22"/>
        </w:rPr>
        <w:t>权利保证：供应商应保证出卖给买方的产品或产品任何部分非他人所有或与他人共有，未设有抵押权、租赁权，未侵犯他人的专利权、版权、商标权等知识产权。一旦出现侵权，卖方应承担全部责任。</w:t>
      </w:r>
    </w:p>
    <w:p w14:paraId="0C0F7E45" w14:textId="77777777" w:rsidR="000C29A2" w:rsidRDefault="004564DF">
      <w:pPr>
        <w:rPr>
          <w:rFonts w:ascii="Times New Roman" w:eastAsia="宋体" w:hAnsi="Times New Roman"/>
          <w:sz w:val="22"/>
          <w:szCs w:val="22"/>
        </w:rPr>
      </w:pPr>
      <w:r>
        <w:rPr>
          <w:rFonts w:ascii="Times New Roman" w:eastAsia="宋体" w:hAnsi="Times New Roman" w:hint="eastAsia"/>
          <w:sz w:val="22"/>
          <w:szCs w:val="22"/>
        </w:rPr>
        <w:t>2.</w:t>
      </w:r>
      <w:r>
        <w:rPr>
          <w:rFonts w:ascii="Times New Roman" w:eastAsia="宋体" w:hAnsi="Times New Roman" w:hint="eastAsia"/>
          <w:sz w:val="22"/>
          <w:szCs w:val="22"/>
        </w:rPr>
        <w:t>产品质量：①产品质量应符合中华人民共和国国家安全质量标准、环保标准、行业标准或货物来源国官方标准；②产品所有技术性能规格及参数，应符合招标文件和卖方投标文件所要求的技术标准及生产厂商公开的宣传资料和生产厂商官方网站宣传内容的标准要求。③卖方应保证提供的产品是全新未使用过的原厂合格正品（包括零部件），表面无划损、无任何缺陷隐患，在中国境内可依常规安全合法使用。应提供有效材料（抽验的检验报告或质量认证证书或者合格证或上级行政部门颁发的相关符合质量证书或其他任何可以有效证明产品质量合格的资料）证明其产品符合或</w:t>
      </w:r>
      <w:r>
        <w:rPr>
          <w:rFonts w:ascii="Times New Roman" w:eastAsia="宋体" w:hAnsi="Times New Roman" w:hint="eastAsia"/>
          <w:sz w:val="22"/>
          <w:szCs w:val="22"/>
        </w:rPr>
        <w:t>优于质量要求。</w:t>
      </w:r>
    </w:p>
    <w:p w14:paraId="034E4578" w14:textId="77777777" w:rsidR="000C29A2" w:rsidRDefault="004564DF">
      <w:pPr>
        <w:rPr>
          <w:rFonts w:ascii="Times New Roman" w:eastAsia="宋体" w:hAnsi="Times New Roman"/>
          <w:sz w:val="22"/>
          <w:szCs w:val="22"/>
        </w:rPr>
      </w:pPr>
      <w:r>
        <w:rPr>
          <w:rFonts w:ascii="Times New Roman" w:eastAsia="宋体" w:hAnsi="Times New Roman" w:hint="eastAsia"/>
          <w:sz w:val="22"/>
          <w:szCs w:val="22"/>
        </w:rPr>
        <w:t>3.</w:t>
      </w:r>
      <w:r>
        <w:rPr>
          <w:rFonts w:ascii="Times New Roman" w:eastAsia="宋体" w:hAnsi="Times New Roman" w:hint="eastAsia"/>
          <w:sz w:val="22"/>
          <w:szCs w:val="22"/>
        </w:rPr>
        <w:t>货物为原厂商未启封全新包装，序列号、包装箱号与出厂批号一致，并可追溯查阅。</w:t>
      </w:r>
    </w:p>
    <w:p w14:paraId="7876D0EA" w14:textId="77777777" w:rsidR="000C29A2" w:rsidRDefault="004564DF">
      <w:pPr>
        <w:rPr>
          <w:rFonts w:ascii="Times New Roman" w:eastAsia="宋体" w:hAnsi="Times New Roman"/>
          <w:sz w:val="22"/>
          <w:szCs w:val="22"/>
        </w:rPr>
      </w:pPr>
      <w:r>
        <w:rPr>
          <w:rFonts w:ascii="Times New Roman" w:eastAsia="宋体" w:hAnsi="Times New Roman" w:hint="eastAsia"/>
          <w:sz w:val="22"/>
          <w:szCs w:val="22"/>
        </w:rPr>
        <w:t>4.</w:t>
      </w:r>
      <w:r>
        <w:rPr>
          <w:rFonts w:ascii="Times New Roman" w:eastAsia="宋体" w:hAnsi="Times New Roman" w:hint="eastAsia"/>
          <w:sz w:val="22"/>
          <w:szCs w:val="22"/>
        </w:rPr>
        <w:t>安装要求：所有提供的货物均要按照最新《建筑设计防火规范》进行安装调试；供货安装过程必须严格按照南京邮电大学相关要求进行，过程中不得影响在校师生正常的教学与生活，更不得与在校师生、物业人员产生冲突；安装过程中不得损坏原有消防设施设备，如有损坏情况必须无条件换新，安装过程中产生的一切费用由供应商负责。</w:t>
      </w:r>
    </w:p>
    <w:p w14:paraId="228EA1FA" w14:textId="77777777" w:rsidR="000C29A2" w:rsidRDefault="004564DF">
      <w:pPr>
        <w:rPr>
          <w:rFonts w:ascii="Times New Roman" w:eastAsia="宋体" w:hAnsi="Times New Roman"/>
          <w:sz w:val="22"/>
          <w:szCs w:val="22"/>
        </w:rPr>
      </w:pPr>
      <w:r>
        <w:rPr>
          <w:rFonts w:ascii="Times New Roman" w:eastAsia="宋体" w:hAnsi="Times New Roman" w:hint="eastAsia"/>
          <w:sz w:val="22"/>
          <w:szCs w:val="22"/>
        </w:rPr>
        <w:t>5.</w:t>
      </w:r>
      <w:r>
        <w:rPr>
          <w:rFonts w:ascii="Times New Roman" w:eastAsia="宋体" w:hAnsi="Times New Roman" w:hint="eastAsia"/>
          <w:sz w:val="22"/>
          <w:szCs w:val="22"/>
        </w:rPr>
        <w:t>供应商必须按照采购方具体要求安装消防设施设备，并负责在指定区域安装调试。在质保期内出现任何质量问题由供应商承</w:t>
      </w:r>
      <w:r>
        <w:rPr>
          <w:rFonts w:ascii="Times New Roman" w:eastAsia="宋体" w:hAnsi="Times New Roman" w:hint="eastAsia"/>
          <w:sz w:val="22"/>
          <w:szCs w:val="22"/>
        </w:rPr>
        <w:t>担。</w:t>
      </w:r>
    </w:p>
    <w:p w14:paraId="75F440C5" w14:textId="77777777" w:rsidR="000C29A2" w:rsidRDefault="004564DF">
      <w:pPr>
        <w:rPr>
          <w:rFonts w:ascii="Times New Roman" w:eastAsia="宋体" w:hAnsi="Times New Roman"/>
          <w:sz w:val="22"/>
          <w:szCs w:val="22"/>
        </w:rPr>
      </w:pPr>
      <w:r>
        <w:rPr>
          <w:rFonts w:ascii="Times New Roman" w:eastAsia="宋体" w:hAnsi="Times New Roman" w:hint="eastAsia"/>
          <w:sz w:val="22"/>
          <w:szCs w:val="22"/>
        </w:rPr>
        <w:t>6.</w:t>
      </w:r>
      <w:r>
        <w:rPr>
          <w:rFonts w:ascii="Times New Roman" w:eastAsia="宋体" w:hAnsi="Times New Roman" w:hint="eastAsia"/>
          <w:sz w:val="22"/>
          <w:szCs w:val="22"/>
        </w:rPr>
        <w:t>供应商负责所有需要安装的消防设施设备的搬运、安装、调试工作，在这过程中出现的供应商单位人员人身及物品安全问题由供应商自行负责，与甲方无关。</w:t>
      </w:r>
    </w:p>
    <w:p w14:paraId="1F7B860D" w14:textId="77777777" w:rsidR="000C29A2" w:rsidRDefault="004564DF">
      <w:pPr>
        <w:rPr>
          <w:rFonts w:ascii="Times New Roman" w:eastAsia="宋体" w:hAnsi="Times New Roman"/>
          <w:b/>
          <w:bCs/>
          <w:sz w:val="24"/>
        </w:rPr>
      </w:pPr>
      <w:r>
        <w:rPr>
          <w:rFonts w:ascii="Times New Roman" w:eastAsia="宋体" w:hAnsi="Times New Roman" w:hint="eastAsia"/>
          <w:b/>
          <w:bCs/>
          <w:sz w:val="24"/>
        </w:rPr>
        <w:t>供应商须知：</w:t>
      </w:r>
    </w:p>
    <w:p w14:paraId="185A1455" w14:textId="77777777" w:rsidR="000C29A2" w:rsidRDefault="004564DF">
      <w:pPr>
        <w:rPr>
          <w:rFonts w:ascii="Times New Roman" w:eastAsia="宋体" w:hAnsi="Times New Roman"/>
          <w:sz w:val="22"/>
          <w:szCs w:val="22"/>
        </w:rPr>
      </w:pPr>
      <w:r>
        <w:rPr>
          <w:rFonts w:ascii="Times New Roman" w:eastAsia="宋体" w:hAnsi="Times New Roman" w:hint="eastAsia"/>
          <w:sz w:val="22"/>
          <w:szCs w:val="22"/>
        </w:rPr>
        <w:t>1.</w:t>
      </w:r>
      <w:r>
        <w:rPr>
          <w:rFonts w:ascii="Times New Roman" w:eastAsia="宋体" w:hAnsi="Times New Roman" w:hint="eastAsia"/>
          <w:sz w:val="22"/>
          <w:szCs w:val="22"/>
        </w:rPr>
        <w:t>供应商应按照项目需求报价，标明所提供的设备品牌、规格型号，主要部件型号及其功能的中文说明，供货期等；每项货物和服务只允许有一个报价，任何有选择的报价将不予接受（如有备选配件，备选配件的报价不属于选择的报价）。</w:t>
      </w:r>
    </w:p>
    <w:p w14:paraId="7D203058" w14:textId="77777777" w:rsidR="000C29A2" w:rsidRDefault="004564DF">
      <w:pPr>
        <w:rPr>
          <w:rFonts w:ascii="Times New Roman" w:eastAsia="宋体" w:hAnsi="Times New Roman"/>
          <w:sz w:val="22"/>
          <w:szCs w:val="22"/>
        </w:rPr>
      </w:pPr>
      <w:r>
        <w:rPr>
          <w:rFonts w:ascii="Times New Roman" w:eastAsia="宋体" w:hAnsi="Times New Roman" w:hint="eastAsia"/>
          <w:sz w:val="22"/>
          <w:szCs w:val="22"/>
        </w:rPr>
        <w:t>2.</w:t>
      </w:r>
      <w:r>
        <w:rPr>
          <w:rFonts w:ascii="Times New Roman" w:eastAsia="宋体" w:hAnsi="Times New Roman" w:hint="eastAsia"/>
          <w:sz w:val="22"/>
          <w:szCs w:val="22"/>
        </w:rPr>
        <w:t>报价采取总承包方式，包括所投产品、安装调试、服务、运输、税金及其他有关的为完成本项目发生的所有费用，以人民币报价。</w:t>
      </w:r>
    </w:p>
    <w:p w14:paraId="3B91800C" w14:textId="77777777" w:rsidR="000C29A2" w:rsidRDefault="004564DF">
      <w:pPr>
        <w:rPr>
          <w:rFonts w:ascii="Times New Roman" w:eastAsia="宋体" w:hAnsi="Times New Roman"/>
          <w:sz w:val="22"/>
          <w:szCs w:val="22"/>
        </w:rPr>
      </w:pPr>
      <w:r>
        <w:rPr>
          <w:rFonts w:ascii="Times New Roman" w:eastAsia="宋体" w:hAnsi="Times New Roman" w:hint="eastAsia"/>
          <w:sz w:val="22"/>
          <w:szCs w:val="22"/>
        </w:rPr>
        <w:t>3.</w:t>
      </w:r>
      <w:r>
        <w:rPr>
          <w:rFonts w:ascii="Times New Roman" w:eastAsia="宋体" w:hAnsi="Times New Roman" w:hint="eastAsia"/>
          <w:sz w:val="22"/>
          <w:szCs w:val="22"/>
        </w:rPr>
        <w:t>报价总价款</w:t>
      </w:r>
      <w:r>
        <w:rPr>
          <w:rFonts w:ascii="Times New Roman" w:eastAsia="宋体" w:hAnsi="Times New Roman" w:hint="eastAsia"/>
          <w:sz w:val="22"/>
          <w:szCs w:val="22"/>
        </w:rPr>
        <w:t>是完成本项目所发生的所有含税费用、支付给员工的工资和国家强制缴纳的各种社会保障资金，以及供应商认为需要的其他费用等。</w:t>
      </w:r>
    </w:p>
    <w:p w14:paraId="1484098F" w14:textId="77777777" w:rsidR="000C29A2" w:rsidRDefault="004564DF">
      <w:pPr>
        <w:rPr>
          <w:rFonts w:ascii="Times New Roman" w:eastAsia="宋体" w:hAnsi="Times New Roman"/>
          <w:b/>
          <w:bCs/>
          <w:sz w:val="24"/>
        </w:rPr>
      </w:pPr>
      <w:r>
        <w:rPr>
          <w:rFonts w:ascii="Times New Roman" w:eastAsia="宋体" w:hAnsi="Times New Roman" w:hint="eastAsia"/>
          <w:b/>
          <w:bCs/>
          <w:sz w:val="24"/>
        </w:rPr>
        <w:t>其他具体要求：</w:t>
      </w:r>
    </w:p>
    <w:p w14:paraId="42FF9858" w14:textId="77777777" w:rsidR="000C29A2" w:rsidRDefault="004564DF">
      <w:pPr>
        <w:rPr>
          <w:rFonts w:ascii="Times New Roman" w:eastAsia="宋体" w:hAnsi="Times New Roman"/>
          <w:sz w:val="22"/>
          <w:szCs w:val="22"/>
        </w:rPr>
      </w:pPr>
      <w:r>
        <w:rPr>
          <w:rFonts w:ascii="Times New Roman" w:eastAsia="宋体" w:hAnsi="Times New Roman" w:hint="eastAsia"/>
          <w:sz w:val="22"/>
          <w:szCs w:val="22"/>
        </w:rPr>
        <w:t>1.</w:t>
      </w:r>
      <w:r>
        <w:rPr>
          <w:rFonts w:ascii="Times New Roman" w:eastAsia="宋体" w:hAnsi="Times New Roman" w:hint="eastAsia"/>
          <w:sz w:val="22"/>
          <w:szCs w:val="22"/>
        </w:rPr>
        <w:t>供应商所提供的主要设备材料（蝶阀、遥控浮球阀、栓头）均有检验报告并在报价响应文件中向甲方提供；若在报价响应文件中不按要求提供相关设备设施的检验报告视为无效报价响应文件。</w:t>
      </w:r>
    </w:p>
    <w:p w14:paraId="0C9A993C" w14:textId="77777777" w:rsidR="000C29A2" w:rsidRDefault="004564DF">
      <w:pPr>
        <w:rPr>
          <w:rFonts w:ascii="Times New Roman" w:eastAsia="宋体" w:hAnsi="Times New Roman"/>
          <w:sz w:val="22"/>
          <w:szCs w:val="22"/>
        </w:rPr>
      </w:pPr>
      <w:r>
        <w:rPr>
          <w:rFonts w:ascii="Times New Roman" w:eastAsia="宋体" w:hAnsi="Times New Roman" w:hint="eastAsia"/>
          <w:sz w:val="22"/>
          <w:szCs w:val="22"/>
        </w:rPr>
        <w:t>2.</w:t>
      </w:r>
      <w:r>
        <w:rPr>
          <w:rFonts w:ascii="Times New Roman" w:eastAsia="宋体" w:hAnsi="Times New Roman" w:hint="eastAsia"/>
          <w:sz w:val="22"/>
          <w:szCs w:val="22"/>
        </w:rPr>
        <w:t>提供的货物由供应商免费安装、组装、测试等直至设备运转正常。项目外所产生的一切费用均由供应商承担，与甲方无关；</w:t>
      </w:r>
    </w:p>
    <w:p w14:paraId="2395B2C5" w14:textId="77777777" w:rsidR="000C29A2" w:rsidRDefault="004564DF">
      <w:pPr>
        <w:rPr>
          <w:rFonts w:ascii="Times New Roman" w:eastAsia="宋体" w:hAnsi="Times New Roman"/>
          <w:sz w:val="22"/>
          <w:szCs w:val="22"/>
        </w:rPr>
      </w:pPr>
      <w:r>
        <w:rPr>
          <w:rFonts w:ascii="Times New Roman" w:eastAsia="宋体" w:hAnsi="Times New Roman" w:hint="eastAsia"/>
          <w:sz w:val="22"/>
          <w:szCs w:val="22"/>
        </w:rPr>
        <w:t>3.</w:t>
      </w:r>
      <w:r>
        <w:rPr>
          <w:rFonts w:ascii="Times New Roman" w:eastAsia="宋体" w:hAnsi="Times New Roman" w:hint="eastAsia"/>
          <w:sz w:val="22"/>
          <w:szCs w:val="22"/>
        </w:rPr>
        <w:t>具有独立承担民事责任的能力；</w:t>
      </w:r>
    </w:p>
    <w:p w14:paraId="5F22B2FF" w14:textId="77777777" w:rsidR="000C29A2" w:rsidRDefault="004564DF">
      <w:pPr>
        <w:rPr>
          <w:rFonts w:ascii="Times New Roman" w:eastAsia="宋体" w:hAnsi="Times New Roman"/>
          <w:sz w:val="22"/>
          <w:szCs w:val="22"/>
        </w:rPr>
      </w:pPr>
      <w:r>
        <w:rPr>
          <w:rFonts w:ascii="Times New Roman" w:eastAsia="宋体" w:hAnsi="Times New Roman" w:hint="eastAsia"/>
          <w:sz w:val="22"/>
          <w:szCs w:val="22"/>
        </w:rPr>
        <w:t>4.</w:t>
      </w:r>
      <w:r>
        <w:rPr>
          <w:rFonts w:ascii="Times New Roman" w:eastAsia="宋体" w:hAnsi="Times New Roman" w:hint="eastAsia"/>
          <w:sz w:val="22"/>
          <w:szCs w:val="22"/>
        </w:rPr>
        <w:t>甲方不提供住宿场所以及校内住宿场地；</w:t>
      </w:r>
    </w:p>
    <w:p w14:paraId="25E35F06" w14:textId="77777777" w:rsidR="000C29A2" w:rsidRDefault="004564DF">
      <w:pPr>
        <w:rPr>
          <w:rFonts w:ascii="Times New Roman" w:eastAsia="宋体" w:hAnsi="Times New Roman"/>
          <w:sz w:val="22"/>
          <w:szCs w:val="22"/>
        </w:rPr>
      </w:pPr>
      <w:r>
        <w:rPr>
          <w:rFonts w:ascii="Times New Roman" w:eastAsia="宋体" w:hAnsi="Times New Roman" w:hint="eastAsia"/>
          <w:sz w:val="22"/>
          <w:szCs w:val="22"/>
        </w:rPr>
        <w:t>5.</w:t>
      </w:r>
      <w:r>
        <w:rPr>
          <w:rFonts w:ascii="Times New Roman" w:eastAsia="宋体" w:hAnsi="Times New Roman" w:hint="eastAsia"/>
          <w:sz w:val="22"/>
          <w:szCs w:val="22"/>
        </w:rPr>
        <w:t>供货时间为</w:t>
      </w:r>
      <w:r>
        <w:rPr>
          <w:rFonts w:ascii="Times New Roman" w:eastAsia="宋体" w:hAnsi="Times New Roman" w:hint="eastAsia"/>
          <w:sz w:val="22"/>
          <w:szCs w:val="22"/>
        </w:rPr>
        <w:t>甲方指定的时间（由甲方向供应商派发施工单或电话通知）次日起</w:t>
      </w:r>
      <w:r>
        <w:rPr>
          <w:rFonts w:ascii="Times New Roman" w:eastAsia="宋体" w:hAnsi="Times New Roman" w:hint="eastAsia"/>
          <w:sz w:val="22"/>
          <w:szCs w:val="22"/>
        </w:rPr>
        <w:t>2</w:t>
      </w:r>
      <w:r>
        <w:rPr>
          <w:rFonts w:ascii="Times New Roman" w:eastAsia="宋体" w:hAnsi="Times New Roman" w:hint="eastAsia"/>
          <w:sz w:val="22"/>
          <w:szCs w:val="22"/>
        </w:rPr>
        <w:t>日内完成拆除供货安装测试调试；若</w:t>
      </w:r>
      <w:r>
        <w:rPr>
          <w:rFonts w:ascii="Times New Roman" w:eastAsia="宋体" w:hAnsi="Times New Roman" w:hint="eastAsia"/>
          <w:sz w:val="22"/>
          <w:szCs w:val="22"/>
        </w:rPr>
        <w:t>2</w:t>
      </w:r>
      <w:r>
        <w:rPr>
          <w:rFonts w:ascii="Times New Roman" w:eastAsia="宋体" w:hAnsi="Times New Roman" w:hint="eastAsia"/>
          <w:sz w:val="22"/>
          <w:szCs w:val="22"/>
        </w:rPr>
        <w:t>日内无法完成拆除供货安装测试超出甲方指定完工的日期，根据实际情况处理；每超过一天（不足一天按照一整天计算）甲方按照供应商报价总价款的</w:t>
      </w:r>
      <w:r>
        <w:rPr>
          <w:rFonts w:ascii="Times New Roman" w:eastAsia="宋体" w:hAnsi="Times New Roman" w:hint="eastAsia"/>
          <w:sz w:val="22"/>
          <w:szCs w:val="22"/>
        </w:rPr>
        <w:t>5%</w:t>
      </w:r>
      <w:r>
        <w:rPr>
          <w:rFonts w:ascii="Times New Roman" w:eastAsia="宋体" w:hAnsi="Times New Roman" w:hint="eastAsia"/>
          <w:sz w:val="22"/>
          <w:szCs w:val="22"/>
        </w:rPr>
        <w:t>进行处罚（从决算中扣除）；供货安装测试调试产生的所有费用以及所有工作人员的人身安全等由供应商承担与甲方无关；供应商必须在报价响应文件中单独出具供货安装测试完成交付的具体时间的承诺书，不提供视为无效报价响应文件；</w:t>
      </w:r>
    </w:p>
    <w:p w14:paraId="19CFE9E8" w14:textId="77777777" w:rsidR="000C29A2" w:rsidRDefault="004564DF">
      <w:pPr>
        <w:rPr>
          <w:rFonts w:ascii="Times New Roman" w:eastAsia="宋体" w:hAnsi="Times New Roman"/>
          <w:sz w:val="22"/>
          <w:szCs w:val="22"/>
        </w:rPr>
      </w:pPr>
      <w:r>
        <w:rPr>
          <w:rFonts w:ascii="Times New Roman" w:eastAsia="宋体" w:hAnsi="Times New Roman" w:hint="eastAsia"/>
          <w:sz w:val="22"/>
          <w:szCs w:val="22"/>
        </w:rPr>
        <w:t>6.</w:t>
      </w:r>
      <w:r>
        <w:rPr>
          <w:rFonts w:ascii="Times New Roman" w:eastAsia="宋体" w:hAnsi="Times New Roman" w:hint="eastAsia"/>
          <w:sz w:val="22"/>
          <w:szCs w:val="22"/>
        </w:rPr>
        <w:t>甲方单位组织专家等对供应商所提供货物、安装完成后的运转情况进行鉴定</w:t>
      </w:r>
      <w:r>
        <w:rPr>
          <w:rFonts w:ascii="Times New Roman" w:eastAsia="宋体" w:hAnsi="Times New Roman" w:hint="eastAsia"/>
          <w:sz w:val="22"/>
          <w:szCs w:val="22"/>
        </w:rPr>
        <w:t>验收（阶段鉴定验收、终期鉴定验收、全数检验验收、抽样检验验收），若发现虚假、作假，不</w:t>
      </w:r>
      <w:r>
        <w:rPr>
          <w:rFonts w:ascii="Times New Roman" w:eastAsia="宋体" w:hAnsi="Times New Roman" w:hint="eastAsia"/>
          <w:sz w:val="22"/>
          <w:szCs w:val="22"/>
        </w:rPr>
        <w:lastRenderedPageBreak/>
        <w:t>满足相关规范要求的现象，甲方有权要求供应商及时进行整改，（整改期间的时间计算在甲方指定完工的日期内，产生的一切后果及费用由供应商承担，与甲方无关）；若在甲方限期内整改后仍然无法达到相关规范要求或未能整改，由供应商向甲方单位（单次）偿付总价的</w:t>
      </w:r>
      <w:r>
        <w:rPr>
          <w:rFonts w:ascii="Times New Roman" w:eastAsia="宋体" w:hAnsi="Times New Roman" w:hint="eastAsia"/>
          <w:sz w:val="22"/>
          <w:szCs w:val="22"/>
        </w:rPr>
        <w:t>5%</w:t>
      </w:r>
      <w:r>
        <w:rPr>
          <w:rFonts w:ascii="Times New Roman" w:eastAsia="宋体" w:hAnsi="Times New Roman" w:hint="eastAsia"/>
          <w:sz w:val="22"/>
          <w:szCs w:val="22"/>
        </w:rPr>
        <w:t>处罚金（从决算中扣除）。</w:t>
      </w:r>
    </w:p>
    <w:p w14:paraId="765FAA67" w14:textId="77777777" w:rsidR="000C29A2" w:rsidRDefault="004564DF">
      <w:pPr>
        <w:rPr>
          <w:rFonts w:ascii="Times New Roman" w:eastAsia="宋体" w:hAnsi="Times New Roman"/>
          <w:sz w:val="22"/>
          <w:szCs w:val="22"/>
        </w:rPr>
      </w:pPr>
      <w:r>
        <w:rPr>
          <w:rFonts w:ascii="Times New Roman" w:eastAsia="宋体" w:hAnsi="Times New Roman" w:hint="eastAsia"/>
          <w:sz w:val="22"/>
          <w:szCs w:val="22"/>
        </w:rPr>
        <w:t>7.</w:t>
      </w:r>
      <w:r>
        <w:rPr>
          <w:rFonts w:ascii="Times New Roman" w:eastAsia="宋体" w:hAnsi="Times New Roman" w:hint="eastAsia"/>
          <w:sz w:val="22"/>
          <w:szCs w:val="22"/>
        </w:rPr>
        <w:t>供应商在拆除安装测试调试期间，须安排一名具有中级消防设施操作员（检测维修保养方向）及以上资质的人员为现场项目负责人，对此次维修换新拆除安装过程进行全时全程</w:t>
      </w:r>
      <w:r>
        <w:rPr>
          <w:rFonts w:ascii="Times New Roman" w:eastAsia="宋体" w:hAnsi="Times New Roman" w:hint="eastAsia"/>
          <w:sz w:val="22"/>
          <w:szCs w:val="22"/>
        </w:rPr>
        <w:t>监督监管，确保现场工作人员操作符合相关规范要求，直至安装交付验收完毕；对此类人员的安排供应商需在报价响应文件中向甲方单位单独出具承诺书，不提供视为无效报价响应文件；甲方将不定时派员巡视此次项目的进度完成情况。甲方若发现工作期间现场无项目负责人在现场监督，甲方有权立即叫停，要求供应商立即整改（停工期间的时间计算在甲方指定完工的日期内，产生的一切后果及费用由供应商承担，与甲方无关）；甲方若发现工作期间现场项目负责人属于无证人员，甲方有权立即叫停，要求供应商立即整改（停工期间的时间计算在甲方指定完工的日期内，产生</w:t>
      </w:r>
      <w:r>
        <w:rPr>
          <w:rFonts w:ascii="Times New Roman" w:eastAsia="宋体" w:hAnsi="Times New Roman" w:hint="eastAsia"/>
          <w:sz w:val="22"/>
          <w:szCs w:val="22"/>
        </w:rPr>
        <w:t>的一切后果及费用由供应商承担与甲方无关）；</w:t>
      </w:r>
    </w:p>
    <w:p w14:paraId="0E7BE73A" w14:textId="77777777" w:rsidR="000C29A2" w:rsidRDefault="004564DF">
      <w:pPr>
        <w:rPr>
          <w:rFonts w:ascii="Times New Roman" w:eastAsia="宋体" w:hAnsi="Times New Roman"/>
          <w:sz w:val="22"/>
          <w:szCs w:val="22"/>
        </w:rPr>
      </w:pPr>
      <w:r>
        <w:rPr>
          <w:rFonts w:ascii="Times New Roman" w:eastAsia="宋体" w:hAnsi="Times New Roman" w:hint="eastAsia"/>
          <w:sz w:val="22"/>
          <w:szCs w:val="22"/>
        </w:rPr>
        <w:t>8.</w:t>
      </w:r>
      <w:r>
        <w:rPr>
          <w:rFonts w:ascii="Times New Roman" w:eastAsia="宋体" w:hAnsi="Times New Roman" w:hint="eastAsia"/>
          <w:sz w:val="22"/>
          <w:szCs w:val="22"/>
        </w:rPr>
        <w:t>货物进场后，甲方对货物质量、品牌、型号、数量等进行鉴定查验。货物符合标准经甲方同意后方可安装；若货物不符合标准，甲方有权立即退货，要求供应商在甲方指定时间内（以甲方书面指定时间为准）进行调换（调换的时间计算在甲方指定的日期内）。若甲方邀请质量检测机构对货物质量进行鉴定。货物符合标准的，鉴定费由甲方承担；货物不符合质量标准的，鉴定费由供应商承担、并调换有问题商品或部件（调换的时间计算在甲方指定的日期内），产生的一切后果及费用由供应商承担，与甲方无关。</w:t>
      </w:r>
    </w:p>
    <w:p w14:paraId="42444DD1" w14:textId="77777777" w:rsidR="000C29A2" w:rsidRDefault="004564DF">
      <w:pPr>
        <w:rPr>
          <w:rFonts w:ascii="Times New Roman" w:eastAsia="宋体" w:hAnsi="Times New Roman"/>
          <w:sz w:val="22"/>
          <w:szCs w:val="22"/>
        </w:rPr>
      </w:pPr>
      <w:r>
        <w:rPr>
          <w:rFonts w:ascii="Times New Roman" w:eastAsia="宋体" w:hAnsi="Times New Roman" w:hint="eastAsia"/>
          <w:sz w:val="22"/>
          <w:szCs w:val="22"/>
        </w:rPr>
        <w:t>9.</w:t>
      </w:r>
      <w:r>
        <w:rPr>
          <w:rFonts w:ascii="Times New Roman" w:eastAsia="宋体" w:hAnsi="Times New Roman" w:hint="eastAsia"/>
          <w:sz w:val="22"/>
          <w:szCs w:val="22"/>
        </w:rPr>
        <w:t>供应商</w:t>
      </w:r>
      <w:r>
        <w:rPr>
          <w:rFonts w:ascii="Times New Roman" w:eastAsia="宋体" w:hAnsi="Times New Roman" w:hint="eastAsia"/>
          <w:sz w:val="22"/>
          <w:szCs w:val="22"/>
        </w:rPr>
        <w:t>应承诺货物是全新、未使用过的原装合格正品，并完全符合生产企业或国家规定的质量、规格和性能的要求。供应商需在报价响应文件中向甲方单位单独出具承诺书，不提供视为无效报价响应文件；</w:t>
      </w:r>
    </w:p>
    <w:p w14:paraId="267860D9" w14:textId="77777777" w:rsidR="000C29A2" w:rsidRDefault="004564DF">
      <w:pPr>
        <w:rPr>
          <w:rFonts w:ascii="Times New Roman" w:eastAsia="宋体" w:hAnsi="Times New Roman"/>
          <w:sz w:val="22"/>
          <w:szCs w:val="22"/>
        </w:rPr>
      </w:pPr>
      <w:r>
        <w:rPr>
          <w:rFonts w:ascii="Times New Roman" w:eastAsia="宋体" w:hAnsi="Times New Roman" w:hint="eastAsia"/>
          <w:sz w:val="22"/>
          <w:szCs w:val="22"/>
        </w:rPr>
        <w:t>10.</w:t>
      </w:r>
      <w:r>
        <w:rPr>
          <w:rFonts w:ascii="Times New Roman" w:eastAsia="宋体" w:hAnsi="Times New Roman" w:hint="eastAsia"/>
          <w:sz w:val="22"/>
          <w:szCs w:val="22"/>
        </w:rPr>
        <w:t>安装过程中若对电线、电路、电缆、光纤等线路、管网等造成损坏影响，均由供应商承担相关费用及后果，与甲方无关。供应商必须按照相关部门的要求和规定及时修复。</w:t>
      </w:r>
    </w:p>
    <w:p w14:paraId="3D9900CF" w14:textId="77777777" w:rsidR="000C29A2" w:rsidRDefault="004564DF">
      <w:pPr>
        <w:pStyle w:val="1"/>
        <w:jc w:val="center"/>
        <w:rPr>
          <w:sz w:val="36"/>
          <w:szCs w:val="36"/>
        </w:rPr>
      </w:pPr>
      <w:r>
        <w:rPr>
          <w:rFonts w:hint="eastAsia"/>
          <w:sz w:val="36"/>
          <w:szCs w:val="36"/>
        </w:rPr>
        <w:t>承诺书</w:t>
      </w:r>
    </w:p>
    <w:p w14:paraId="780C1190" w14:textId="77777777" w:rsidR="000C29A2" w:rsidRDefault="004564DF">
      <w:pPr>
        <w:spacing w:line="400" w:lineRule="exact"/>
        <w:ind w:firstLineChars="200" w:firstLine="480"/>
        <w:rPr>
          <w:rFonts w:ascii="Times New Roman" w:eastAsia="宋体" w:hAnsi="Times New Roman"/>
          <w:sz w:val="24"/>
        </w:rPr>
      </w:pPr>
      <w:r>
        <w:rPr>
          <w:rFonts w:ascii="Times New Roman" w:eastAsia="宋体" w:hAnsi="Times New Roman" w:hint="eastAsia"/>
          <w:sz w:val="24"/>
        </w:rPr>
        <w:t>我公司郑重承诺具备以下条件：</w:t>
      </w:r>
    </w:p>
    <w:p w14:paraId="142DE41C" w14:textId="77777777" w:rsidR="000C29A2" w:rsidRDefault="004564DF">
      <w:pPr>
        <w:spacing w:line="400" w:lineRule="exact"/>
        <w:rPr>
          <w:rFonts w:ascii="Times New Roman" w:eastAsia="宋体" w:hAnsi="Times New Roman"/>
          <w:sz w:val="24"/>
        </w:rPr>
      </w:pPr>
      <w:r>
        <w:rPr>
          <w:rFonts w:ascii="Times New Roman" w:eastAsia="宋体" w:hAnsi="Times New Roman" w:hint="eastAsia"/>
          <w:sz w:val="24"/>
        </w:rPr>
        <w:t>1.</w:t>
      </w:r>
      <w:r>
        <w:rPr>
          <w:rFonts w:ascii="Times New Roman" w:eastAsia="宋体" w:hAnsi="Times New Roman" w:hint="eastAsia"/>
          <w:sz w:val="24"/>
        </w:rPr>
        <w:t>具有独立承担民事责任的能力；</w:t>
      </w:r>
    </w:p>
    <w:p w14:paraId="205319A5" w14:textId="77777777" w:rsidR="000C29A2" w:rsidRDefault="004564DF">
      <w:pPr>
        <w:spacing w:line="400" w:lineRule="exact"/>
        <w:rPr>
          <w:rFonts w:ascii="Times New Roman" w:eastAsia="宋体" w:hAnsi="Times New Roman"/>
          <w:sz w:val="24"/>
        </w:rPr>
      </w:pPr>
      <w:r>
        <w:rPr>
          <w:rFonts w:ascii="Times New Roman" w:eastAsia="宋体" w:hAnsi="Times New Roman" w:hint="eastAsia"/>
          <w:sz w:val="24"/>
        </w:rPr>
        <w:t>2.</w:t>
      </w:r>
      <w:r>
        <w:rPr>
          <w:rFonts w:ascii="Times New Roman" w:eastAsia="宋体" w:hAnsi="Times New Roman" w:hint="eastAsia"/>
          <w:sz w:val="24"/>
        </w:rPr>
        <w:t>具有良好的商业信誉；</w:t>
      </w:r>
    </w:p>
    <w:p w14:paraId="1021298B" w14:textId="77777777" w:rsidR="000C29A2" w:rsidRDefault="004564DF">
      <w:pPr>
        <w:spacing w:line="400" w:lineRule="exact"/>
        <w:rPr>
          <w:rFonts w:ascii="Times New Roman" w:eastAsia="宋体" w:hAnsi="Times New Roman"/>
          <w:sz w:val="24"/>
        </w:rPr>
      </w:pPr>
      <w:r>
        <w:rPr>
          <w:rFonts w:ascii="Times New Roman" w:eastAsia="宋体" w:hAnsi="Times New Roman" w:hint="eastAsia"/>
          <w:sz w:val="24"/>
        </w:rPr>
        <w:t>3.</w:t>
      </w:r>
      <w:r>
        <w:rPr>
          <w:rFonts w:ascii="Times New Roman" w:eastAsia="宋体" w:hAnsi="Times New Roman" w:hint="eastAsia"/>
          <w:sz w:val="24"/>
        </w:rPr>
        <w:t>具有履行合同所必需的设备和专业技术能力；</w:t>
      </w:r>
    </w:p>
    <w:p w14:paraId="3D1ED3DD" w14:textId="77777777" w:rsidR="000C29A2" w:rsidRDefault="004564DF">
      <w:pPr>
        <w:spacing w:line="400" w:lineRule="exact"/>
        <w:rPr>
          <w:rFonts w:ascii="Times New Roman" w:eastAsia="宋体" w:hAnsi="Times New Roman"/>
          <w:sz w:val="24"/>
        </w:rPr>
      </w:pPr>
      <w:r>
        <w:rPr>
          <w:rFonts w:ascii="Times New Roman" w:eastAsia="宋体" w:hAnsi="Times New Roman" w:hint="eastAsia"/>
          <w:sz w:val="24"/>
        </w:rPr>
        <w:t>4.</w:t>
      </w:r>
      <w:r>
        <w:rPr>
          <w:rFonts w:ascii="Times New Roman" w:eastAsia="宋体" w:hAnsi="Times New Roman" w:hint="eastAsia"/>
          <w:sz w:val="24"/>
        </w:rPr>
        <w:t>有依法缴纳税收的良好记录；</w:t>
      </w:r>
    </w:p>
    <w:p w14:paraId="3A451059" w14:textId="77777777" w:rsidR="000C29A2" w:rsidRDefault="004564DF">
      <w:pPr>
        <w:spacing w:line="400" w:lineRule="exact"/>
        <w:rPr>
          <w:rFonts w:ascii="Times New Roman" w:eastAsia="宋体" w:hAnsi="Times New Roman"/>
          <w:sz w:val="24"/>
        </w:rPr>
      </w:pPr>
      <w:r>
        <w:rPr>
          <w:rFonts w:ascii="Times New Roman" w:eastAsia="宋体" w:hAnsi="Times New Roman" w:hint="eastAsia"/>
          <w:sz w:val="24"/>
        </w:rPr>
        <w:t>5.</w:t>
      </w:r>
      <w:r>
        <w:rPr>
          <w:rFonts w:ascii="Times New Roman" w:eastAsia="宋体" w:hAnsi="Times New Roman" w:hint="eastAsia"/>
          <w:sz w:val="24"/>
        </w:rPr>
        <w:t>参加本次采购活动前三年内，在经营活动中没有重大违法记录；</w:t>
      </w:r>
    </w:p>
    <w:p w14:paraId="093F98EA" w14:textId="77777777" w:rsidR="000C29A2" w:rsidRDefault="004564DF">
      <w:pPr>
        <w:spacing w:line="400" w:lineRule="exact"/>
        <w:rPr>
          <w:rFonts w:ascii="Times New Roman" w:eastAsia="宋体" w:hAnsi="Times New Roman"/>
          <w:sz w:val="24"/>
        </w:rPr>
      </w:pPr>
      <w:r>
        <w:rPr>
          <w:rFonts w:ascii="Times New Roman" w:eastAsia="宋体" w:hAnsi="Times New Roman" w:hint="eastAsia"/>
          <w:sz w:val="24"/>
        </w:rPr>
        <w:t>6.</w:t>
      </w:r>
      <w:r>
        <w:rPr>
          <w:rFonts w:ascii="Times New Roman" w:eastAsia="宋体" w:hAnsi="Times New Roman" w:hint="eastAsia"/>
          <w:sz w:val="24"/>
        </w:rPr>
        <w:t>法律、行政法规规定的其他条件。</w:t>
      </w:r>
    </w:p>
    <w:p w14:paraId="14F5ED19" w14:textId="77777777" w:rsidR="000C29A2" w:rsidRDefault="000C29A2">
      <w:pPr>
        <w:spacing w:line="400" w:lineRule="exact"/>
        <w:rPr>
          <w:rFonts w:ascii="Times New Roman" w:eastAsia="宋体" w:hAnsi="Times New Roman"/>
          <w:sz w:val="24"/>
        </w:rPr>
      </w:pPr>
    </w:p>
    <w:p w14:paraId="375F33A7" w14:textId="77777777" w:rsidR="000C29A2" w:rsidRDefault="004564DF">
      <w:pPr>
        <w:spacing w:line="400" w:lineRule="exact"/>
        <w:rPr>
          <w:rFonts w:ascii="Times New Roman" w:eastAsia="宋体" w:hAnsi="Times New Roman"/>
          <w:sz w:val="24"/>
        </w:rPr>
      </w:pPr>
      <w:r>
        <w:rPr>
          <w:rFonts w:ascii="Times New Roman" w:eastAsia="宋体" w:hAnsi="Times New Roman" w:hint="eastAsia"/>
          <w:sz w:val="24"/>
        </w:rPr>
        <w:t>供应商名称：</w:t>
      </w:r>
      <w:r>
        <w:rPr>
          <w:rFonts w:ascii="Times New Roman" w:eastAsia="宋体" w:hAnsi="Times New Roman" w:hint="eastAsia"/>
          <w:sz w:val="24"/>
        </w:rPr>
        <w:t>XXX</w:t>
      </w:r>
      <w:r>
        <w:rPr>
          <w:rFonts w:ascii="Times New Roman" w:eastAsia="宋体" w:hAnsi="Times New Roman" w:hint="eastAsia"/>
          <w:sz w:val="24"/>
        </w:rPr>
        <w:t>（盖章）</w:t>
      </w:r>
    </w:p>
    <w:p w14:paraId="61D46E1C" w14:textId="77777777" w:rsidR="000C29A2" w:rsidRDefault="004564DF">
      <w:pPr>
        <w:spacing w:line="400" w:lineRule="exact"/>
        <w:rPr>
          <w:rFonts w:ascii="Times New Roman" w:eastAsia="宋体" w:hAnsi="Times New Roman"/>
          <w:sz w:val="24"/>
        </w:rPr>
      </w:pPr>
      <w:r>
        <w:rPr>
          <w:rFonts w:ascii="Times New Roman" w:eastAsia="宋体" w:hAnsi="Times New Roman" w:hint="eastAsia"/>
          <w:sz w:val="24"/>
        </w:rPr>
        <w:t>日期：</w:t>
      </w:r>
      <w:r>
        <w:rPr>
          <w:rFonts w:ascii="Times New Roman" w:eastAsia="宋体" w:hAnsi="Times New Roman" w:hint="eastAsia"/>
          <w:sz w:val="24"/>
        </w:rPr>
        <w:t>XXX</w:t>
      </w:r>
      <w:r>
        <w:rPr>
          <w:rFonts w:ascii="Times New Roman" w:eastAsia="宋体" w:hAnsi="Times New Roman" w:hint="eastAsia"/>
          <w:sz w:val="24"/>
        </w:rPr>
        <w:t>年</w:t>
      </w:r>
      <w:r>
        <w:rPr>
          <w:rFonts w:ascii="Times New Roman" w:eastAsia="宋体" w:hAnsi="Times New Roman" w:hint="eastAsia"/>
          <w:sz w:val="24"/>
        </w:rPr>
        <w:t>XX</w:t>
      </w:r>
      <w:r>
        <w:rPr>
          <w:rFonts w:ascii="Times New Roman" w:eastAsia="宋体" w:hAnsi="Times New Roman" w:hint="eastAsia"/>
          <w:sz w:val="24"/>
        </w:rPr>
        <w:t>月</w:t>
      </w:r>
      <w:bookmarkStart w:id="0" w:name="_Hlt26671380"/>
      <w:bookmarkStart w:id="1" w:name="_格式3__银行出具的资信证明"/>
      <w:bookmarkStart w:id="2" w:name="_Hlt26955070"/>
      <w:bookmarkEnd w:id="0"/>
      <w:bookmarkEnd w:id="1"/>
      <w:bookmarkEnd w:id="2"/>
      <w:r>
        <w:rPr>
          <w:rFonts w:ascii="Times New Roman" w:eastAsia="宋体" w:hAnsi="Times New Roman" w:hint="eastAsia"/>
          <w:sz w:val="24"/>
        </w:rPr>
        <w:t>XX</w:t>
      </w:r>
      <w:r>
        <w:rPr>
          <w:rFonts w:ascii="Times New Roman" w:eastAsia="宋体" w:hAnsi="Times New Roman" w:hint="eastAsia"/>
          <w:sz w:val="24"/>
        </w:rPr>
        <w:t>日</w:t>
      </w:r>
    </w:p>
    <w:p w14:paraId="36C08F2B" w14:textId="77777777" w:rsidR="000C29A2" w:rsidRDefault="000C29A2">
      <w:pPr>
        <w:rPr>
          <w:rFonts w:ascii="Times New Roman" w:eastAsia="宋体" w:hAnsi="Times New Roman"/>
          <w:sz w:val="22"/>
          <w:szCs w:val="22"/>
        </w:rPr>
      </w:pPr>
    </w:p>
    <w:p w14:paraId="22D11C5D" w14:textId="77777777" w:rsidR="000C29A2" w:rsidRDefault="004564DF">
      <w:pPr>
        <w:widowControl/>
        <w:spacing w:line="360" w:lineRule="auto"/>
        <w:ind w:firstLineChars="200" w:firstLine="562"/>
        <w:jc w:val="center"/>
        <w:rPr>
          <w:rFonts w:ascii="仿宋" w:eastAsia="仿宋" w:hAnsi="仿宋" w:cs="Times New Roman"/>
          <w:b/>
          <w:bCs/>
          <w:sz w:val="28"/>
          <w:szCs w:val="28"/>
        </w:rPr>
      </w:pPr>
      <w:r>
        <w:rPr>
          <w:rFonts w:ascii="仿宋" w:eastAsia="仿宋" w:hAnsi="仿宋" w:cs="Times New Roman" w:hint="eastAsia"/>
          <w:b/>
          <w:bCs/>
          <w:sz w:val="28"/>
          <w:szCs w:val="28"/>
        </w:rPr>
        <w:lastRenderedPageBreak/>
        <w:t>仙林校区李苑</w:t>
      </w:r>
      <w:r>
        <w:rPr>
          <w:rFonts w:ascii="仿宋" w:eastAsia="仿宋" w:hAnsi="仿宋" w:cs="Times New Roman" w:hint="eastAsia"/>
          <w:b/>
          <w:bCs/>
          <w:sz w:val="28"/>
          <w:szCs w:val="28"/>
        </w:rPr>
        <w:t>33</w:t>
      </w:r>
      <w:r>
        <w:rPr>
          <w:rFonts w:ascii="仿宋" w:eastAsia="仿宋" w:hAnsi="仿宋" w:cs="Times New Roman" w:hint="eastAsia"/>
          <w:b/>
          <w:bCs/>
          <w:sz w:val="28"/>
          <w:szCs w:val="28"/>
        </w:rPr>
        <w:t>栋地下室蝶阀及桂苑</w:t>
      </w:r>
      <w:r>
        <w:rPr>
          <w:rFonts w:ascii="仿宋" w:eastAsia="仿宋" w:hAnsi="仿宋" w:cs="Times New Roman" w:hint="eastAsia"/>
          <w:b/>
          <w:bCs/>
          <w:sz w:val="28"/>
          <w:szCs w:val="28"/>
        </w:rPr>
        <w:t>44</w:t>
      </w:r>
      <w:r>
        <w:rPr>
          <w:rFonts w:ascii="仿宋" w:eastAsia="仿宋" w:hAnsi="仿宋" w:cs="Times New Roman" w:hint="eastAsia"/>
          <w:b/>
          <w:bCs/>
          <w:sz w:val="28"/>
          <w:szCs w:val="28"/>
        </w:rPr>
        <w:t>栋东面稳压水箱遥控浮球阀等设施损坏维修更换换新项目清单</w:t>
      </w:r>
      <w:bookmarkStart w:id="3" w:name="_GoBack"/>
      <w:bookmarkEnd w:id="3"/>
    </w:p>
    <w:tbl>
      <w:tblPr>
        <w:tblW w:w="4999"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798"/>
        <w:gridCol w:w="3396"/>
        <w:gridCol w:w="3113"/>
        <w:gridCol w:w="1213"/>
      </w:tblGrid>
      <w:tr w:rsidR="000C29A2" w14:paraId="332EE13C" w14:textId="77777777">
        <w:trPr>
          <w:cantSplit/>
          <w:trHeight w:val="432"/>
        </w:trPr>
        <w:tc>
          <w:tcPr>
            <w:tcW w:w="468" w:type="pct"/>
            <w:tcBorders>
              <w:tl2br w:val="nil"/>
              <w:tr2bl w:val="nil"/>
            </w:tcBorders>
            <w:shd w:val="pct10" w:color="auto" w:fill="FFFFFF"/>
            <w:vAlign w:val="center"/>
          </w:tcPr>
          <w:p w14:paraId="7E34E8B9" w14:textId="77777777" w:rsidR="000C29A2" w:rsidRDefault="004564DF">
            <w:pPr>
              <w:snapToGrid w:val="0"/>
              <w:spacing w:line="240" w:lineRule="atLeast"/>
              <w:jc w:val="center"/>
              <w:rPr>
                <w:rFonts w:ascii="Arial" w:eastAsia="楷体_GB2312" w:hAnsi="Arial" w:cs="Times New Roman"/>
                <w:b/>
                <w:kern w:val="0"/>
                <w:sz w:val="24"/>
              </w:rPr>
            </w:pPr>
            <w:r>
              <w:rPr>
                <w:rFonts w:ascii="Arial" w:eastAsia="楷体_GB2312" w:hAnsi="Arial" w:cs="Times New Roman" w:hint="eastAsia"/>
                <w:b/>
                <w:kern w:val="0"/>
                <w:sz w:val="24"/>
              </w:rPr>
              <w:t>编号</w:t>
            </w:r>
          </w:p>
        </w:tc>
        <w:tc>
          <w:tcPr>
            <w:tcW w:w="1992" w:type="pct"/>
            <w:tcBorders>
              <w:tl2br w:val="nil"/>
              <w:tr2bl w:val="nil"/>
            </w:tcBorders>
            <w:shd w:val="pct10" w:color="auto" w:fill="FFFFFF"/>
            <w:vAlign w:val="center"/>
          </w:tcPr>
          <w:p w14:paraId="0B7D97A7" w14:textId="77777777" w:rsidR="000C29A2" w:rsidRDefault="004564DF">
            <w:pPr>
              <w:snapToGrid w:val="0"/>
              <w:spacing w:line="240" w:lineRule="atLeast"/>
              <w:jc w:val="center"/>
              <w:rPr>
                <w:rFonts w:ascii="Arial" w:eastAsia="楷体_GB2312" w:hAnsi="Arial" w:cs="Times New Roman"/>
                <w:b/>
                <w:kern w:val="0"/>
                <w:sz w:val="24"/>
              </w:rPr>
            </w:pPr>
            <w:r>
              <w:rPr>
                <w:rFonts w:ascii="Arial" w:eastAsia="楷体_GB2312" w:hAnsi="Arial" w:cs="Times New Roman" w:hint="eastAsia"/>
                <w:b/>
                <w:kern w:val="0"/>
                <w:sz w:val="24"/>
              </w:rPr>
              <w:t>项目</w:t>
            </w:r>
            <w:r>
              <w:rPr>
                <w:rFonts w:ascii="Arial" w:eastAsia="楷体_GB2312" w:hAnsi="Arial" w:cs="Times New Roman" w:hint="eastAsia"/>
                <w:b/>
                <w:kern w:val="0"/>
                <w:sz w:val="24"/>
              </w:rPr>
              <w:t>名称</w:t>
            </w:r>
          </w:p>
        </w:tc>
        <w:tc>
          <w:tcPr>
            <w:tcW w:w="1826" w:type="pct"/>
            <w:tcBorders>
              <w:tl2br w:val="nil"/>
              <w:tr2bl w:val="nil"/>
            </w:tcBorders>
            <w:shd w:val="pct10" w:color="auto" w:fill="FFFFFF"/>
            <w:vAlign w:val="center"/>
          </w:tcPr>
          <w:p w14:paraId="6C9270DB" w14:textId="77777777" w:rsidR="000C29A2" w:rsidRDefault="004564DF">
            <w:pPr>
              <w:snapToGrid w:val="0"/>
              <w:spacing w:line="240" w:lineRule="atLeast"/>
              <w:jc w:val="center"/>
              <w:rPr>
                <w:rFonts w:ascii="Arial" w:eastAsia="楷体_GB2312" w:hAnsi="Arial" w:cs="Times New Roman"/>
                <w:b/>
                <w:kern w:val="0"/>
                <w:sz w:val="24"/>
              </w:rPr>
            </w:pPr>
            <w:r>
              <w:rPr>
                <w:rFonts w:ascii="Arial" w:eastAsia="楷体_GB2312" w:hAnsi="Arial" w:cs="Times New Roman" w:hint="eastAsia"/>
                <w:b/>
                <w:kern w:val="0"/>
                <w:sz w:val="24"/>
              </w:rPr>
              <w:t>规</w:t>
            </w:r>
            <w:r>
              <w:rPr>
                <w:rFonts w:ascii="Arial" w:eastAsia="楷体_GB2312" w:hAnsi="Arial" w:cs="Times New Roman"/>
                <w:b/>
                <w:kern w:val="0"/>
                <w:sz w:val="24"/>
              </w:rPr>
              <w:t xml:space="preserve"> </w:t>
            </w:r>
            <w:r>
              <w:rPr>
                <w:rFonts w:ascii="Arial" w:eastAsia="楷体_GB2312" w:hAnsi="Arial" w:cs="Times New Roman" w:hint="eastAsia"/>
                <w:b/>
                <w:kern w:val="0"/>
                <w:sz w:val="24"/>
              </w:rPr>
              <w:t>格</w:t>
            </w:r>
            <w:r>
              <w:rPr>
                <w:rFonts w:ascii="Arial" w:eastAsia="楷体_GB2312" w:hAnsi="Arial" w:cs="Times New Roman"/>
                <w:b/>
                <w:kern w:val="0"/>
                <w:sz w:val="24"/>
              </w:rPr>
              <w:t xml:space="preserve"> </w:t>
            </w:r>
            <w:r>
              <w:rPr>
                <w:rFonts w:ascii="Arial" w:eastAsia="楷体_GB2312" w:hAnsi="Arial" w:cs="Times New Roman" w:hint="eastAsia"/>
                <w:b/>
                <w:kern w:val="0"/>
                <w:sz w:val="24"/>
              </w:rPr>
              <w:t>型</w:t>
            </w:r>
            <w:r>
              <w:rPr>
                <w:rFonts w:ascii="Arial" w:eastAsia="楷体_GB2312" w:hAnsi="Arial" w:cs="Times New Roman"/>
                <w:b/>
                <w:kern w:val="0"/>
                <w:sz w:val="24"/>
              </w:rPr>
              <w:t xml:space="preserve"> </w:t>
            </w:r>
            <w:r>
              <w:rPr>
                <w:rFonts w:ascii="Arial" w:eastAsia="楷体_GB2312" w:hAnsi="Arial" w:cs="Times New Roman" w:hint="eastAsia"/>
                <w:b/>
                <w:kern w:val="0"/>
                <w:sz w:val="24"/>
              </w:rPr>
              <w:t>号（品牌）</w:t>
            </w:r>
          </w:p>
        </w:tc>
        <w:tc>
          <w:tcPr>
            <w:tcW w:w="712" w:type="pct"/>
            <w:tcBorders>
              <w:tl2br w:val="nil"/>
              <w:tr2bl w:val="nil"/>
            </w:tcBorders>
            <w:shd w:val="pct10" w:color="auto" w:fill="FFFFFF"/>
            <w:vAlign w:val="center"/>
          </w:tcPr>
          <w:p w14:paraId="15E71481" w14:textId="77777777" w:rsidR="000C29A2" w:rsidRDefault="004564DF">
            <w:pPr>
              <w:snapToGrid w:val="0"/>
              <w:spacing w:line="240" w:lineRule="atLeast"/>
              <w:jc w:val="center"/>
              <w:rPr>
                <w:rFonts w:ascii="Arial" w:eastAsia="楷体_GB2312" w:hAnsi="Arial" w:cs="Times New Roman"/>
                <w:b/>
                <w:kern w:val="0"/>
                <w:sz w:val="24"/>
              </w:rPr>
            </w:pPr>
            <w:r>
              <w:rPr>
                <w:rFonts w:ascii="Arial" w:eastAsia="楷体_GB2312" w:hAnsi="Arial" w:cs="Times New Roman" w:hint="eastAsia"/>
                <w:b/>
                <w:kern w:val="0"/>
                <w:sz w:val="24"/>
              </w:rPr>
              <w:t>数量</w:t>
            </w:r>
          </w:p>
        </w:tc>
      </w:tr>
      <w:tr w:rsidR="000C29A2" w14:paraId="544F9C37" w14:textId="77777777">
        <w:trPr>
          <w:cantSplit/>
          <w:trHeight w:val="23"/>
        </w:trPr>
        <w:tc>
          <w:tcPr>
            <w:tcW w:w="468" w:type="pct"/>
            <w:tcBorders>
              <w:tl2br w:val="nil"/>
              <w:tr2bl w:val="nil"/>
            </w:tcBorders>
            <w:vAlign w:val="center"/>
          </w:tcPr>
          <w:p w14:paraId="6A962A14" w14:textId="77777777" w:rsidR="000C29A2" w:rsidRDefault="004564DF">
            <w:pPr>
              <w:snapToGrid w:val="0"/>
              <w:spacing w:line="600" w:lineRule="atLeast"/>
              <w:jc w:val="center"/>
              <w:rPr>
                <w:rFonts w:ascii="Times New Roman" w:eastAsia="宋体" w:hAnsi="Times New Roman" w:cstheme="minorEastAsia"/>
                <w:kern w:val="0"/>
                <w:sz w:val="18"/>
                <w:szCs w:val="18"/>
              </w:rPr>
            </w:pPr>
            <w:r>
              <w:rPr>
                <w:rFonts w:ascii="Times New Roman" w:eastAsia="宋体" w:hAnsi="Times New Roman" w:cstheme="minorEastAsia" w:hint="eastAsia"/>
                <w:kern w:val="0"/>
                <w:sz w:val="18"/>
                <w:szCs w:val="18"/>
              </w:rPr>
              <w:t>1</w:t>
            </w:r>
          </w:p>
        </w:tc>
        <w:tc>
          <w:tcPr>
            <w:tcW w:w="1992" w:type="pct"/>
            <w:tcBorders>
              <w:tl2br w:val="nil"/>
              <w:tr2bl w:val="nil"/>
            </w:tcBorders>
            <w:vAlign w:val="center"/>
          </w:tcPr>
          <w:p w14:paraId="1BE0DC2D" w14:textId="77777777" w:rsidR="000C29A2" w:rsidRDefault="004564DF">
            <w:pPr>
              <w:snapToGrid w:val="0"/>
              <w:rPr>
                <w:rFonts w:ascii="Times New Roman" w:eastAsia="宋体" w:hAnsi="Times New Roman" w:cstheme="minorEastAsia"/>
                <w:sz w:val="18"/>
                <w:szCs w:val="18"/>
              </w:rPr>
            </w:pPr>
            <w:r>
              <w:rPr>
                <w:rFonts w:ascii="Times New Roman" w:eastAsia="宋体" w:hAnsi="Times New Roman" w:cstheme="minorEastAsia" w:hint="eastAsia"/>
                <w:sz w:val="18"/>
                <w:szCs w:val="18"/>
              </w:rPr>
              <w:t>涡轮对夹软密封蝶阀（损坏换新）</w:t>
            </w:r>
          </w:p>
        </w:tc>
        <w:tc>
          <w:tcPr>
            <w:tcW w:w="1826" w:type="pct"/>
            <w:tcBorders>
              <w:tl2br w:val="nil"/>
              <w:tr2bl w:val="nil"/>
            </w:tcBorders>
            <w:vAlign w:val="center"/>
          </w:tcPr>
          <w:p w14:paraId="5B0C435E" w14:textId="77777777" w:rsidR="000C29A2" w:rsidRDefault="004564DF">
            <w:pPr>
              <w:spacing w:line="360" w:lineRule="auto"/>
              <w:rPr>
                <w:rFonts w:ascii="Times New Roman" w:eastAsia="宋体" w:hAnsi="Times New Roman" w:cstheme="minorEastAsia"/>
                <w:color w:val="000000"/>
                <w:sz w:val="18"/>
                <w:szCs w:val="18"/>
              </w:rPr>
            </w:pPr>
            <w:r>
              <w:rPr>
                <w:rFonts w:ascii="Times New Roman" w:eastAsia="宋体" w:hAnsi="Times New Roman" w:cstheme="minorEastAsia" w:hint="eastAsia"/>
                <w:color w:val="000000"/>
                <w:sz w:val="18"/>
                <w:szCs w:val="18"/>
              </w:rPr>
              <w:t>DN100</w:t>
            </w:r>
            <w:r>
              <w:rPr>
                <w:rFonts w:ascii="Times New Roman" w:eastAsia="宋体" w:hAnsi="Times New Roman" w:cstheme="minorEastAsia" w:hint="eastAsia"/>
                <w:color w:val="000000"/>
                <w:sz w:val="18"/>
                <w:szCs w:val="18"/>
              </w:rPr>
              <w:t>、国标、上海仓岭</w:t>
            </w:r>
          </w:p>
        </w:tc>
        <w:tc>
          <w:tcPr>
            <w:tcW w:w="712" w:type="pct"/>
            <w:tcBorders>
              <w:tl2br w:val="nil"/>
              <w:tr2bl w:val="nil"/>
            </w:tcBorders>
            <w:vAlign w:val="center"/>
          </w:tcPr>
          <w:p w14:paraId="0B74EF10" w14:textId="77777777" w:rsidR="000C29A2" w:rsidRDefault="004564DF">
            <w:pPr>
              <w:snapToGrid w:val="0"/>
              <w:jc w:val="left"/>
              <w:rPr>
                <w:rFonts w:ascii="Times New Roman" w:eastAsia="宋体" w:hAnsi="Times New Roman" w:cstheme="minorEastAsia"/>
                <w:kern w:val="0"/>
                <w:sz w:val="18"/>
                <w:szCs w:val="18"/>
              </w:rPr>
            </w:pPr>
            <w:r>
              <w:rPr>
                <w:rFonts w:ascii="Times New Roman" w:eastAsia="宋体" w:hAnsi="Times New Roman" w:cstheme="minorEastAsia" w:hint="eastAsia"/>
                <w:kern w:val="0"/>
                <w:sz w:val="18"/>
                <w:szCs w:val="18"/>
              </w:rPr>
              <w:t>9</w:t>
            </w:r>
            <w:r>
              <w:rPr>
                <w:rFonts w:ascii="Times New Roman" w:eastAsia="宋体" w:hAnsi="Times New Roman" w:cstheme="minorEastAsia" w:hint="eastAsia"/>
                <w:kern w:val="0"/>
                <w:sz w:val="18"/>
                <w:szCs w:val="18"/>
              </w:rPr>
              <w:t>个</w:t>
            </w:r>
          </w:p>
        </w:tc>
      </w:tr>
      <w:tr w:rsidR="000C29A2" w14:paraId="4B2DC026" w14:textId="77777777">
        <w:trPr>
          <w:cantSplit/>
          <w:trHeight w:val="23"/>
        </w:trPr>
        <w:tc>
          <w:tcPr>
            <w:tcW w:w="468" w:type="pct"/>
            <w:tcBorders>
              <w:tl2br w:val="nil"/>
              <w:tr2bl w:val="nil"/>
            </w:tcBorders>
            <w:vAlign w:val="center"/>
          </w:tcPr>
          <w:p w14:paraId="7CC168C2" w14:textId="77777777" w:rsidR="000C29A2" w:rsidRDefault="004564DF">
            <w:pPr>
              <w:snapToGrid w:val="0"/>
              <w:spacing w:line="600" w:lineRule="atLeast"/>
              <w:jc w:val="center"/>
              <w:rPr>
                <w:rFonts w:ascii="Times New Roman" w:eastAsia="宋体" w:hAnsi="Times New Roman" w:cstheme="minorEastAsia"/>
                <w:kern w:val="0"/>
                <w:sz w:val="18"/>
                <w:szCs w:val="18"/>
              </w:rPr>
            </w:pPr>
            <w:r>
              <w:rPr>
                <w:rFonts w:ascii="Times New Roman" w:eastAsia="宋体" w:hAnsi="Times New Roman" w:cstheme="minorEastAsia" w:hint="eastAsia"/>
                <w:kern w:val="0"/>
                <w:sz w:val="18"/>
                <w:szCs w:val="18"/>
              </w:rPr>
              <w:t>2</w:t>
            </w:r>
          </w:p>
        </w:tc>
        <w:tc>
          <w:tcPr>
            <w:tcW w:w="1992" w:type="pct"/>
            <w:tcBorders>
              <w:tl2br w:val="nil"/>
              <w:tr2bl w:val="nil"/>
            </w:tcBorders>
            <w:shd w:val="clear" w:color="auto" w:fill="auto"/>
            <w:vAlign w:val="center"/>
          </w:tcPr>
          <w:p w14:paraId="5DEA0904" w14:textId="77777777" w:rsidR="000C29A2" w:rsidRDefault="004564DF">
            <w:pPr>
              <w:snapToGrid w:val="0"/>
              <w:rPr>
                <w:rFonts w:ascii="Times New Roman" w:eastAsia="宋体" w:hAnsi="Times New Roman" w:cstheme="minorEastAsia"/>
                <w:sz w:val="18"/>
                <w:szCs w:val="18"/>
              </w:rPr>
            </w:pPr>
            <w:r>
              <w:rPr>
                <w:rFonts w:ascii="Times New Roman" w:eastAsia="宋体" w:hAnsi="Times New Roman" w:cstheme="minorEastAsia" w:hint="eastAsia"/>
                <w:sz w:val="18"/>
                <w:szCs w:val="18"/>
              </w:rPr>
              <w:t>涡轮对夹软密封蝶阀（损坏换新）</w:t>
            </w:r>
          </w:p>
        </w:tc>
        <w:tc>
          <w:tcPr>
            <w:tcW w:w="1826" w:type="pct"/>
            <w:tcBorders>
              <w:tl2br w:val="nil"/>
              <w:tr2bl w:val="nil"/>
            </w:tcBorders>
            <w:shd w:val="clear" w:color="auto" w:fill="auto"/>
            <w:vAlign w:val="center"/>
          </w:tcPr>
          <w:p w14:paraId="2B4CA88A" w14:textId="77777777" w:rsidR="000C29A2" w:rsidRDefault="004564DF">
            <w:pPr>
              <w:spacing w:line="360" w:lineRule="auto"/>
              <w:rPr>
                <w:rFonts w:ascii="Times New Roman" w:eastAsia="宋体" w:hAnsi="Times New Roman" w:cstheme="minorEastAsia"/>
                <w:color w:val="000000"/>
                <w:sz w:val="18"/>
                <w:szCs w:val="18"/>
              </w:rPr>
            </w:pPr>
            <w:r>
              <w:rPr>
                <w:rFonts w:ascii="Times New Roman" w:eastAsia="宋体" w:hAnsi="Times New Roman" w:cstheme="minorEastAsia" w:hint="eastAsia"/>
                <w:color w:val="000000"/>
                <w:sz w:val="18"/>
                <w:szCs w:val="18"/>
              </w:rPr>
              <w:t>DN65</w:t>
            </w:r>
            <w:r>
              <w:rPr>
                <w:rFonts w:ascii="Times New Roman" w:eastAsia="宋体" w:hAnsi="Times New Roman" w:cstheme="minorEastAsia" w:hint="eastAsia"/>
                <w:color w:val="000000"/>
                <w:sz w:val="18"/>
                <w:szCs w:val="18"/>
              </w:rPr>
              <w:t>、国标、上海仓岭</w:t>
            </w:r>
          </w:p>
        </w:tc>
        <w:tc>
          <w:tcPr>
            <w:tcW w:w="712" w:type="pct"/>
            <w:tcBorders>
              <w:tl2br w:val="nil"/>
              <w:tr2bl w:val="nil"/>
            </w:tcBorders>
            <w:vAlign w:val="center"/>
          </w:tcPr>
          <w:p w14:paraId="13524E43" w14:textId="77777777" w:rsidR="000C29A2" w:rsidRDefault="004564DF">
            <w:pPr>
              <w:snapToGrid w:val="0"/>
              <w:jc w:val="left"/>
              <w:rPr>
                <w:rFonts w:ascii="Times New Roman" w:eastAsia="宋体" w:hAnsi="Times New Roman" w:cstheme="minorEastAsia"/>
                <w:kern w:val="0"/>
                <w:sz w:val="18"/>
                <w:szCs w:val="18"/>
              </w:rPr>
            </w:pPr>
            <w:r>
              <w:rPr>
                <w:rFonts w:ascii="Times New Roman" w:eastAsia="宋体" w:hAnsi="Times New Roman" w:cstheme="minorEastAsia" w:hint="eastAsia"/>
                <w:kern w:val="0"/>
                <w:sz w:val="18"/>
                <w:szCs w:val="18"/>
              </w:rPr>
              <w:t>5</w:t>
            </w:r>
            <w:r>
              <w:rPr>
                <w:rFonts w:ascii="Times New Roman" w:eastAsia="宋体" w:hAnsi="Times New Roman" w:cstheme="minorEastAsia" w:hint="eastAsia"/>
                <w:kern w:val="0"/>
                <w:sz w:val="18"/>
                <w:szCs w:val="18"/>
              </w:rPr>
              <w:t>个</w:t>
            </w:r>
          </w:p>
        </w:tc>
      </w:tr>
      <w:tr w:rsidR="000C29A2" w14:paraId="5AC20DA2" w14:textId="77777777">
        <w:trPr>
          <w:cantSplit/>
          <w:trHeight w:val="23"/>
        </w:trPr>
        <w:tc>
          <w:tcPr>
            <w:tcW w:w="468" w:type="pct"/>
            <w:tcBorders>
              <w:tl2br w:val="nil"/>
              <w:tr2bl w:val="nil"/>
            </w:tcBorders>
            <w:vAlign w:val="center"/>
          </w:tcPr>
          <w:p w14:paraId="7474F3EB" w14:textId="77777777" w:rsidR="000C29A2" w:rsidRDefault="004564DF">
            <w:pPr>
              <w:snapToGrid w:val="0"/>
              <w:spacing w:line="600" w:lineRule="atLeast"/>
              <w:jc w:val="center"/>
              <w:rPr>
                <w:rFonts w:ascii="Times New Roman" w:eastAsia="宋体" w:hAnsi="Times New Roman" w:cstheme="minorEastAsia"/>
                <w:kern w:val="0"/>
                <w:sz w:val="18"/>
                <w:szCs w:val="18"/>
              </w:rPr>
            </w:pPr>
            <w:r>
              <w:rPr>
                <w:rFonts w:ascii="Times New Roman" w:eastAsia="宋体" w:hAnsi="Times New Roman" w:cstheme="minorEastAsia" w:hint="eastAsia"/>
                <w:kern w:val="0"/>
                <w:sz w:val="18"/>
                <w:szCs w:val="18"/>
              </w:rPr>
              <w:t>3</w:t>
            </w:r>
          </w:p>
        </w:tc>
        <w:tc>
          <w:tcPr>
            <w:tcW w:w="1992" w:type="pct"/>
            <w:tcBorders>
              <w:tl2br w:val="nil"/>
              <w:tr2bl w:val="nil"/>
            </w:tcBorders>
            <w:vAlign w:val="center"/>
          </w:tcPr>
          <w:p w14:paraId="3AA5870F" w14:textId="77777777" w:rsidR="000C29A2" w:rsidRDefault="004564DF">
            <w:pPr>
              <w:snapToGrid w:val="0"/>
              <w:rPr>
                <w:rFonts w:ascii="Times New Roman" w:eastAsia="宋体" w:hAnsi="Times New Roman" w:cstheme="minorEastAsia"/>
                <w:sz w:val="18"/>
                <w:szCs w:val="18"/>
              </w:rPr>
            </w:pPr>
            <w:r>
              <w:rPr>
                <w:rFonts w:ascii="Times New Roman" w:eastAsia="宋体" w:hAnsi="Times New Roman" w:cstheme="minorEastAsia" w:hint="eastAsia"/>
                <w:sz w:val="18"/>
                <w:szCs w:val="18"/>
              </w:rPr>
              <w:t>沟槽蝶阀（损坏换新）</w:t>
            </w:r>
          </w:p>
        </w:tc>
        <w:tc>
          <w:tcPr>
            <w:tcW w:w="1826" w:type="pct"/>
            <w:tcBorders>
              <w:tl2br w:val="nil"/>
              <w:tr2bl w:val="nil"/>
            </w:tcBorders>
            <w:vAlign w:val="center"/>
          </w:tcPr>
          <w:p w14:paraId="77BCAFAF" w14:textId="77777777" w:rsidR="000C29A2" w:rsidRDefault="004564DF">
            <w:pPr>
              <w:spacing w:line="360" w:lineRule="auto"/>
              <w:rPr>
                <w:rFonts w:ascii="Times New Roman" w:eastAsia="宋体" w:hAnsi="Times New Roman" w:cstheme="minorEastAsia"/>
                <w:color w:val="000000"/>
                <w:sz w:val="18"/>
                <w:szCs w:val="18"/>
              </w:rPr>
            </w:pPr>
            <w:r>
              <w:rPr>
                <w:rFonts w:ascii="Times New Roman" w:eastAsia="宋体" w:hAnsi="Times New Roman" w:cstheme="minorEastAsia" w:hint="eastAsia"/>
                <w:color w:val="000000"/>
                <w:sz w:val="18"/>
                <w:szCs w:val="18"/>
              </w:rPr>
              <w:t>DN100</w:t>
            </w:r>
            <w:r>
              <w:rPr>
                <w:rFonts w:ascii="Times New Roman" w:eastAsia="宋体" w:hAnsi="Times New Roman" w:cstheme="minorEastAsia" w:hint="eastAsia"/>
                <w:color w:val="000000"/>
                <w:sz w:val="18"/>
                <w:szCs w:val="18"/>
              </w:rPr>
              <w:t>、国标、上海仓岭</w:t>
            </w:r>
          </w:p>
        </w:tc>
        <w:tc>
          <w:tcPr>
            <w:tcW w:w="712" w:type="pct"/>
            <w:tcBorders>
              <w:tl2br w:val="nil"/>
              <w:tr2bl w:val="nil"/>
            </w:tcBorders>
            <w:vAlign w:val="center"/>
          </w:tcPr>
          <w:p w14:paraId="3CA086C0" w14:textId="77777777" w:rsidR="000C29A2" w:rsidRDefault="004564DF">
            <w:pPr>
              <w:snapToGrid w:val="0"/>
              <w:jc w:val="left"/>
              <w:rPr>
                <w:rFonts w:ascii="Times New Roman" w:eastAsia="宋体" w:hAnsi="Times New Roman" w:cstheme="minorEastAsia"/>
                <w:kern w:val="0"/>
                <w:sz w:val="18"/>
                <w:szCs w:val="18"/>
              </w:rPr>
            </w:pPr>
            <w:r>
              <w:rPr>
                <w:rFonts w:ascii="Times New Roman" w:eastAsia="宋体" w:hAnsi="Times New Roman" w:cstheme="minorEastAsia" w:hint="eastAsia"/>
                <w:kern w:val="0"/>
                <w:sz w:val="18"/>
                <w:szCs w:val="18"/>
              </w:rPr>
              <w:t>1</w:t>
            </w:r>
            <w:r>
              <w:rPr>
                <w:rFonts w:ascii="Times New Roman" w:eastAsia="宋体" w:hAnsi="Times New Roman" w:cstheme="minorEastAsia" w:hint="eastAsia"/>
                <w:kern w:val="0"/>
                <w:sz w:val="18"/>
                <w:szCs w:val="18"/>
              </w:rPr>
              <w:t>个</w:t>
            </w:r>
          </w:p>
        </w:tc>
      </w:tr>
      <w:tr w:rsidR="000C29A2" w14:paraId="69311D70" w14:textId="77777777">
        <w:trPr>
          <w:cantSplit/>
          <w:trHeight w:val="23"/>
        </w:trPr>
        <w:tc>
          <w:tcPr>
            <w:tcW w:w="468" w:type="pct"/>
            <w:tcBorders>
              <w:tl2br w:val="nil"/>
              <w:tr2bl w:val="nil"/>
            </w:tcBorders>
            <w:vAlign w:val="center"/>
          </w:tcPr>
          <w:p w14:paraId="7CD98671" w14:textId="77777777" w:rsidR="000C29A2" w:rsidRDefault="004564DF">
            <w:pPr>
              <w:snapToGrid w:val="0"/>
              <w:spacing w:line="600" w:lineRule="atLeast"/>
              <w:jc w:val="center"/>
              <w:rPr>
                <w:rFonts w:ascii="Times New Roman" w:eastAsia="宋体" w:hAnsi="Times New Roman" w:cstheme="minorEastAsia"/>
                <w:kern w:val="0"/>
                <w:sz w:val="18"/>
                <w:szCs w:val="18"/>
              </w:rPr>
            </w:pPr>
            <w:r>
              <w:rPr>
                <w:rFonts w:ascii="Times New Roman" w:eastAsia="宋体" w:hAnsi="Times New Roman" w:cstheme="minorEastAsia" w:hint="eastAsia"/>
                <w:kern w:val="0"/>
                <w:sz w:val="18"/>
                <w:szCs w:val="18"/>
              </w:rPr>
              <w:t>4</w:t>
            </w:r>
          </w:p>
        </w:tc>
        <w:tc>
          <w:tcPr>
            <w:tcW w:w="1992" w:type="pct"/>
            <w:tcBorders>
              <w:tl2br w:val="nil"/>
              <w:tr2bl w:val="nil"/>
            </w:tcBorders>
            <w:vAlign w:val="center"/>
          </w:tcPr>
          <w:p w14:paraId="38C5573A" w14:textId="77777777" w:rsidR="000C29A2" w:rsidRDefault="004564DF">
            <w:pPr>
              <w:snapToGrid w:val="0"/>
              <w:rPr>
                <w:rFonts w:ascii="Times New Roman" w:eastAsia="宋体" w:hAnsi="Times New Roman" w:cstheme="minorEastAsia"/>
                <w:sz w:val="18"/>
                <w:szCs w:val="18"/>
              </w:rPr>
            </w:pPr>
            <w:r>
              <w:rPr>
                <w:rFonts w:ascii="Times New Roman" w:eastAsia="宋体" w:hAnsi="Times New Roman" w:cstheme="minorEastAsia" w:hint="eastAsia"/>
                <w:sz w:val="18"/>
                <w:szCs w:val="18"/>
              </w:rPr>
              <w:t>遥控浮球阀及附件全套（损坏换新）</w:t>
            </w:r>
          </w:p>
        </w:tc>
        <w:tc>
          <w:tcPr>
            <w:tcW w:w="1826" w:type="pct"/>
            <w:tcBorders>
              <w:tl2br w:val="nil"/>
              <w:tr2bl w:val="nil"/>
            </w:tcBorders>
            <w:vAlign w:val="center"/>
          </w:tcPr>
          <w:p w14:paraId="64B2B6FF" w14:textId="77777777" w:rsidR="000C29A2" w:rsidRDefault="004564DF">
            <w:pPr>
              <w:spacing w:line="360" w:lineRule="auto"/>
              <w:rPr>
                <w:rFonts w:ascii="Times New Roman" w:eastAsia="宋体" w:hAnsi="Times New Roman" w:cstheme="minorEastAsia"/>
                <w:color w:val="000000"/>
                <w:sz w:val="18"/>
                <w:szCs w:val="18"/>
              </w:rPr>
            </w:pPr>
            <w:r>
              <w:rPr>
                <w:rFonts w:ascii="Times New Roman" w:eastAsia="宋体" w:hAnsi="Times New Roman" w:cstheme="minorEastAsia" w:hint="eastAsia"/>
                <w:color w:val="000000"/>
                <w:sz w:val="18"/>
                <w:szCs w:val="18"/>
              </w:rPr>
              <w:t>DN65</w:t>
            </w:r>
            <w:r>
              <w:rPr>
                <w:rFonts w:ascii="Times New Roman" w:eastAsia="宋体" w:hAnsi="Times New Roman" w:cstheme="minorEastAsia" w:hint="eastAsia"/>
                <w:color w:val="000000"/>
                <w:sz w:val="18"/>
                <w:szCs w:val="18"/>
              </w:rPr>
              <w:t>、国标、上海沪工</w:t>
            </w:r>
          </w:p>
        </w:tc>
        <w:tc>
          <w:tcPr>
            <w:tcW w:w="712" w:type="pct"/>
            <w:tcBorders>
              <w:tl2br w:val="nil"/>
              <w:tr2bl w:val="nil"/>
            </w:tcBorders>
            <w:vAlign w:val="center"/>
          </w:tcPr>
          <w:p w14:paraId="1D50B945" w14:textId="77777777" w:rsidR="000C29A2" w:rsidRDefault="004564DF">
            <w:pPr>
              <w:snapToGrid w:val="0"/>
              <w:jc w:val="left"/>
              <w:rPr>
                <w:rFonts w:ascii="Times New Roman" w:eastAsia="宋体" w:hAnsi="Times New Roman" w:cstheme="minorEastAsia"/>
                <w:kern w:val="0"/>
                <w:sz w:val="18"/>
                <w:szCs w:val="18"/>
              </w:rPr>
            </w:pPr>
            <w:r>
              <w:rPr>
                <w:rFonts w:ascii="Times New Roman" w:eastAsia="宋体" w:hAnsi="Times New Roman" w:cstheme="minorEastAsia" w:hint="eastAsia"/>
                <w:kern w:val="0"/>
                <w:sz w:val="18"/>
                <w:szCs w:val="18"/>
              </w:rPr>
              <w:t>1</w:t>
            </w:r>
            <w:r>
              <w:rPr>
                <w:rFonts w:ascii="Times New Roman" w:eastAsia="宋体" w:hAnsi="Times New Roman" w:cstheme="minorEastAsia" w:hint="eastAsia"/>
                <w:kern w:val="0"/>
                <w:sz w:val="18"/>
                <w:szCs w:val="18"/>
              </w:rPr>
              <w:t>个</w:t>
            </w:r>
          </w:p>
        </w:tc>
      </w:tr>
      <w:tr w:rsidR="000C29A2" w14:paraId="714262CF" w14:textId="77777777">
        <w:trPr>
          <w:cantSplit/>
          <w:trHeight w:val="23"/>
        </w:trPr>
        <w:tc>
          <w:tcPr>
            <w:tcW w:w="468" w:type="pct"/>
            <w:tcBorders>
              <w:tl2br w:val="nil"/>
              <w:tr2bl w:val="nil"/>
            </w:tcBorders>
            <w:vAlign w:val="center"/>
          </w:tcPr>
          <w:p w14:paraId="70D8EC25" w14:textId="77777777" w:rsidR="000C29A2" w:rsidRDefault="004564DF">
            <w:pPr>
              <w:snapToGrid w:val="0"/>
              <w:spacing w:line="600" w:lineRule="atLeast"/>
              <w:jc w:val="center"/>
              <w:rPr>
                <w:rFonts w:ascii="Times New Roman" w:eastAsia="宋体" w:hAnsi="Times New Roman" w:cstheme="minorEastAsia"/>
                <w:kern w:val="0"/>
                <w:sz w:val="18"/>
                <w:szCs w:val="18"/>
              </w:rPr>
            </w:pPr>
            <w:r>
              <w:rPr>
                <w:rFonts w:ascii="Times New Roman" w:eastAsia="宋体" w:hAnsi="Times New Roman" w:cstheme="minorEastAsia" w:hint="eastAsia"/>
                <w:kern w:val="0"/>
                <w:sz w:val="18"/>
                <w:szCs w:val="18"/>
              </w:rPr>
              <w:t>5</w:t>
            </w:r>
          </w:p>
        </w:tc>
        <w:tc>
          <w:tcPr>
            <w:tcW w:w="1992" w:type="pct"/>
            <w:tcBorders>
              <w:tl2br w:val="nil"/>
              <w:tr2bl w:val="nil"/>
            </w:tcBorders>
            <w:shd w:val="clear" w:color="auto" w:fill="auto"/>
            <w:vAlign w:val="center"/>
          </w:tcPr>
          <w:p w14:paraId="3D130736" w14:textId="77777777" w:rsidR="000C29A2" w:rsidRDefault="004564DF">
            <w:pPr>
              <w:snapToGrid w:val="0"/>
              <w:jc w:val="left"/>
              <w:rPr>
                <w:rStyle w:val="font21"/>
                <w:rFonts w:ascii="Times New Roman" w:hAnsi="Times New Roman" w:hint="default"/>
                <w:b w:val="0"/>
                <w:sz w:val="18"/>
                <w:szCs w:val="16"/>
                <w:lang w:bidi="ar"/>
              </w:rPr>
            </w:pPr>
            <w:r>
              <w:rPr>
                <w:rStyle w:val="font21"/>
                <w:rFonts w:ascii="Times New Roman" w:hAnsi="Times New Roman"/>
                <w:b w:val="0"/>
                <w:sz w:val="18"/>
                <w:szCs w:val="16"/>
                <w:lang w:bidi="ar"/>
              </w:rPr>
              <w:t>栓头</w:t>
            </w:r>
            <w:r>
              <w:rPr>
                <w:rFonts w:ascii="Times New Roman" w:eastAsia="宋体" w:hAnsi="Times New Roman" w:cstheme="minorEastAsia" w:hint="eastAsia"/>
                <w:sz w:val="18"/>
                <w:szCs w:val="18"/>
              </w:rPr>
              <w:t>（损坏换新）</w:t>
            </w:r>
          </w:p>
        </w:tc>
        <w:tc>
          <w:tcPr>
            <w:tcW w:w="1826" w:type="pct"/>
            <w:tcBorders>
              <w:tl2br w:val="nil"/>
              <w:tr2bl w:val="nil"/>
            </w:tcBorders>
            <w:shd w:val="clear" w:color="auto" w:fill="auto"/>
            <w:vAlign w:val="center"/>
          </w:tcPr>
          <w:p w14:paraId="4E521D97" w14:textId="77777777" w:rsidR="000C29A2" w:rsidRDefault="004564DF">
            <w:pPr>
              <w:snapToGrid w:val="0"/>
              <w:jc w:val="left"/>
              <w:rPr>
                <w:rFonts w:ascii="Times New Roman" w:eastAsia="宋体" w:hAnsi="Times New Roman" w:cstheme="minorEastAsia"/>
                <w:sz w:val="18"/>
                <w:szCs w:val="16"/>
              </w:rPr>
            </w:pPr>
            <w:r>
              <w:rPr>
                <w:rFonts w:ascii="Times New Roman" w:eastAsia="宋体" w:hAnsi="Times New Roman" w:cstheme="minorEastAsia" w:hint="eastAsia"/>
                <w:sz w:val="18"/>
                <w:szCs w:val="16"/>
              </w:rPr>
              <w:t>DN65</w:t>
            </w:r>
            <w:r>
              <w:rPr>
                <w:rFonts w:ascii="Times New Roman" w:eastAsia="宋体" w:hAnsi="Times New Roman" w:cstheme="minorEastAsia" w:hint="eastAsia"/>
                <w:sz w:val="18"/>
                <w:szCs w:val="16"/>
              </w:rPr>
              <w:t>、</w:t>
            </w:r>
            <w:r>
              <w:rPr>
                <w:rFonts w:ascii="Times New Roman" w:eastAsia="宋体" w:hAnsi="Times New Roman" w:cstheme="minorEastAsia" w:hint="eastAsia"/>
                <w:color w:val="000000"/>
                <w:sz w:val="18"/>
                <w:szCs w:val="18"/>
              </w:rPr>
              <w:t>国标、</w:t>
            </w:r>
            <w:r>
              <w:rPr>
                <w:rFonts w:ascii="Times New Roman" w:eastAsia="宋体" w:hAnsi="Times New Roman" w:cstheme="minorEastAsia" w:hint="eastAsia"/>
                <w:sz w:val="18"/>
                <w:szCs w:val="16"/>
              </w:rPr>
              <w:t>淮海</w:t>
            </w:r>
          </w:p>
        </w:tc>
        <w:tc>
          <w:tcPr>
            <w:tcW w:w="712" w:type="pct"/>
            <w:tcBorders>
              <w:tl2br w:val="nil"/>
              <w:tr2bl w:val="nil"/>
            </w:tcBorders>
            <w:vAlign w:val="center"/>
          </w:tcPr>
          <w:p w14:paraId="3D214F59" w14:textId="77777777" w:rsidR="000C29A2" w:rsidRDefault="004564DF">
            <w:pPr>
              <w:snapToGrid w:val="0"/>
              <w:jc w:val="left"/>
              <w:rPr>
                <w:rFonts w:ascii="Times New Roman" w:eastAsia="宋体" w:hAnsi="Times New Roman" w:cstheme="minorEastAsia"/>
                <w:kern w:val="0"/>
                <w:sz w:val="18"/>
                <w:szCs w:val="18"/>
              </w:rPr>
            </w:pPr>
            <w:r>
              <w:rPr>
                <w:rFonts w:ascii="Times New Roman" w:eastAsia="宋体" w:hAnsi="Times New Roman" w:cstheme="minorEastAsia" w:hint="eastAsia"/>
                <w:kern w:val="0"/>
                <w:sz w:val="18"/>
                <w:szCs w:val="18"/>
              </w:rPr>
              <w:t>4</w:t>
            </w:r>
            <w:r>
              <w:rPr>
                <w:rFonts w:ascii="Times New Roman" w:eastAsia="宋体" w:hAnsi="Times New Roman" w:cstheme="minorEastAsia" w:hint="eastAsia"/>
                <w:kern w:val="0"/>
                <w:sz w:val="18"/>
                <w:szCs w:val="18"/>
              </w:rPr>
              <w:t>个</w:t>
            </w:r>
          </w:p>
        </w:tc>
      </w:tr>
      <w:tr w:rsidR="000C29A2" w14:paraId="364A326E" w14:textId="77777777">
        <w:trPr>
          <w:cantSplit/>
          <w:trHeight w:val="23"/>
        </w:trPr>
        <w:tc>
          <w:tcPr>
            <w:tcW w:w="468" w:type="pct"/>
            <w:tcBorders>
              <w:tl2br w:val="nil"/>
              <w:tr2bl w:val="nil"/>
            </w:tcBorders>
            <w:vAlign w:val="center"/>
          </w:tcPr>
          <w:p w14:paraId="5BB66EF7" w14:textId="77777777" w:rsidR="000C29A2" w:rsidRDefault="004564DF">
            <w:pPr>
              <w:snapToGrid w:val="0"/>
              <w:spacing w:line="600" w:lineRule="atLeast"/>
              <w:jc w:val="center"/>
              <w:rPr>
                <w:rFonts w:ascii="Times New Roman" w:eastAsia="宋体" w:hAnsi="Times New Roman" w:cstheme="minorEastAsia"/>
                <w:kern w:val="0"/>
                <w:sz w:val="18"/>
                <w:szCs w:val="18"/>
              </w:rPr>
            </w:pPr>
            <w:r>
              <w:rPr>
                <w:rFonts w:ascii="Times New Roman" w:eastAsia="宋体" w:hAnsi="Times New Roman" w:cstheme="minorEastAsia" w:hint="eastAsia"/>
                <w:kern w:val="0"/>
                <w:sz w:val="18"/>
                <w:szCs w:val="18"/>
              </w:rPr>
              <w:t>6</w:t>
            </w:r>
          </w:p>
        </w:tc>
        <w:tc>
          <w:tcPr>
            <w:tcW w:w="1992" w:type="pct"/>
            <w:tcBorders>
              <w:tl2br w:val="nil"/>
              <w:tr2bl w:val="nil"/>
            </w:tcBorders>
            <w:vAlign w:val="center"/>
          </w:tcPr>
          <w:p w14:paraId="676453FA" w14:textId="77777777" w:rsidR="000C29A2" w:rsidRDefault="004564DF">
            <w:pPr>
              <w:snapToGrid w:val="0"/>
              <w:rPr>
                <w:rFonts w:ascii="Times New Roman" w:eastAsia="宋体" w:hAnsi="Times New Roman" w:cstheme="minorEastAsia"/>
                <w:sz w:val="18"/>
                <w:szCs w:val="18"/>
              </w:rPr>
            </w:pPr>
            <w:r>
              <w:rPr>
                <w:rFonts w:ascii="Times New Roman" w:eastAsia="宋体" w:hAnsi="Times New Roman" w:cstheme="minorEastAsia" w:hint="eastAsia"/>
                <w:sz w:val="18"/>
                <w:szCs w:val="18"/>
              </w:rPr>
              <w:t>辅材</w:t>
            </w:r>
          </w:p>
        </w:tc>
        <w:tc>
          <w:tcPr>
            <w:tcW w:w="1826" w:type="pct"/>
            <w:tcBorders>
              <w:tl2br w:val="nil"/>
              <w:tr2bl w:val="nil"/>
            </w:tcBorders>
            <w:vAlign w:val="center"/>
          </w:tcPr>
          <w:p w14:paraId="29906D27" w14:textId="77777777" w:rsidR="000C29A2" w:rsidRDefault="000C29A2">
            <w:pPr>
              <w:rPr>
                <w:rFonts w:ascii="Times New Roman" w:eastAsia="宋体" w:hAnsi="Times New Roman" w:cstheme="minorEastAsia"/>
                <w:color w:val="000000"/>
                <w:sz w:val="18"/>
                <w:szCs w:val="18"/>
              </w:rPr>
            </w:pPr>
          </w:p>
        </w:tc>
        <w:tc>
          <w:tcPr>
            <w:tcW w:w="712" w:type="pct"/>
            <w:tcBorders>
              <w:tl2br w:val="nil"/>
              <w:tr2bl w:val="nil"/>
            </w:tcBorders>
            <w:vAlign w:val="center"/>
          </w:tcPr>
          <w:p w14:paraId="32A33796" w14:textId="77777777" w:rsidR="000C29A2" w:rsidRDefault="004564DF">
            <w:pPr>
              <w:snapToGrid w:val="0"/>
              <w:jc w:val="left"/>
              <w:rPr>
                <w:rFonts w:ascii="Times New Roman" w:eastAsia="宋体" w:hAnsi="Times New Roman" w:cstheme="minorEastAsia"/>
                <w:kern w:val="0"/>
                <w:sz w:val="18"/>
                <w:szCs w:val="18"/>
              </w:rPr>
            </w:pPr>
            <w:r>
              <w:rPr>
                <w:rFonts w:ascii="Times New Roman" w:eastAsia="宋体" w:hAnsi="Times New Roman" w:cstheme="minorEastAsia" w:hint="eastAsia"/>
                <w:kern w:val="0"/>
                <w:sz w:val="18"/>
                <w:szCs w:val="18"/>
              </w:rPr>
              <w:t>1</w:t>
            </w:r>
            <w:r>
              <w:rPr>
                <w:rFonts w:ascii="Times New Roman" w:eastAsia="宋体" w:hAnsi="Times New Roman" w:cstheme="minorEastAsia" w:hint="eastAsia"/>
                <w:kern w:val="0"/>
                <w:sz w:val="18"/>
                <w:szCs w:val="18"/>
              </w:rPr>
              <w:t>项</w:t>
            </w:r>
          </w:p>
        </w:tc>
      </w:tr>
      <w:tr w:rsidR="000C29A2" w14:paraId="32595065" w14:textId="77777777">
        <w:trPr>
          <w:cantSplit/>
          <w:trHeight w:val="23"/>
        </w:trPr>
        <w:tc>
          <w:tcPr>
            <w:tcW w:w="468" w:type="pct"/>
            <w:tcBorders>
              <w:tl2br w:val="nil"/>
              <w:tr2bl w:val="nil"/>
            </w:tcBorders>
            <w:vAlign w:val="center"/>
          </w:tcPr>
          <w:p w14:paraId="7C07CF84" w14:textId="77777777" w:rsidR="000C29A2" w:rsidRDefault="004564DF">
            <w:pPr>
              <w:snapToGrid w:val="0"/>
              <w:spacing w:line="600" w:lineRule="atLeast"/>
              <w:jc w:val="center"/>
              <w:rPr>
                <w:rFonts w:ascii="Times New Roman" w:eastAsia="宋体" w:hAnsi="Times New Roman" w:cstheme="minorEastAsia"/>
                <w:kern w:val="0"/>
                <w:sz w:val="18"/>
                <w:szCs w:val="18"/>
              </w:rPr>
            </w:pPr>
            <w:r>
              <w:rPr>
                <w:rFonts w:ascii="Times New Roman" w:eastAsia="宋体" w:hAnsi="Times New Roman" w:cstheme="minorEastAsia" w:hint="eastAsia"/>
                <w:kern w:val="0"/>
                <w:sz w:val="18"/>
                <w:szCs w:val="18"/>
              </w:rPr>
              <w:t>7</w:t>
            </w:r>
          </w:p>
        </w:tc>
        <w:tc>
          <w:tcPr>
            <w:tcW w:w="1992" w:type="pct"/>
            <w:tcBorders>
              <w:tl2br w:val="nil"/>
              <w:tr2bl w:val="nil"/>
            </w:tcBorders>
            <w:vAlign w:val="center"/>
          </w:tcPr>
          <w:p w14:paraId="7AE5E37D" w14:textId="77777777" w:rsidR="000C29A2" w:rsidRDefault="004564DF">
            <w:pPr>
              <w:snapToGrid w:val="0"/>
              <w:rPr>
                <w:rFonts w:ascii="Times New Roman" w:eastAsia="宋体" w:hAnsi="Times New Roman" w:cstheme="minorEastAsia"/>
                <w:sz w:val="18"/>
                <w:szCs w:val="18"/>
              </w:rPr>
            </w:pPr>
            <w:r>
              <w:rPr>
                <w:rFonts w:ascii="Times New Roman" w:eastAsia="宋体" w:hAnsi="Times New Roman" w:cstheme="minorEastAsia" w:hint="eastAsia"/>
                <w:sz w:val="18"/>
                <w:szCs w:val="18"/>
              </w:rPr>
              <w:t>拆除供水管</w:t>
            </w:r>
          </w:p>
        </w:tc>
        <w:tc>
          <w:tcPr>
            <w:tcW w:w="1826" w:type="pct"/>
            <w:tcBorders>
              <w:tl2br w:val="nil"/>
              <w:tr2bl w:val="nil"/>
            </w:tcBorders>
            <w:vAlign w:val="center"/>
          </w:tcPr>
          <w:p w14:paraId="286F5893" w14:textId="77777777" w:rsidR="000C29A2" w:rsidRDefault="004564DF">
            <w:pPr>
              <w:spacing w:line="360" w:lineRule="auto"/>
              <w:rPr>
                <w:rFonts w:ascii="Times New Roman" w:eastAsia="宋体" w:hAnsi="Times New Roman" w:cstheme="minorEastAsia"/>
                <w:color w:val="000000"/>
                <w:sz w:val="18"/>
                <w:szCs w:val="18"/>
              </w:rPr>
            </w:pPr>
            <w:r>
              <w:rPr>
                <w:rFonts w:ascii="Times New Roman" w:eastAsia="宋体" w:hAnsi="Times New Roman" w:cstheme="minorEastAsia" w:hint="eastAsia"/>
                <w:color w:val="000000"/>
                <w:sz w:val="18"/>
                <w:szCs w:val="18"/>
              </w:rPr>
              <w:t>DN100</w:t>
            </w:r>
          </w:p>
        </w:tc>
        <w:tc>
          <w:tcPr>
            <w:tcW w:w="712" w:type="pct"/>
            <w:tcBorders>
              <w:tl2br w:val="nil"/>
              <w:tr2bl w:val="nil"/>
            </w:tcBorders>
            <w:vAlign w:val="center"/>
          </w:tcPr>
          <w:p w14:paraId="73B1D1C0" w14:textId="77777777" w:rsidR="000C29A2" w:rsidRDefault="004564DF">
            <w:pPr>
              <w:snapToGrid w:val="0"/>
              <w:jc w:val="left"/>
              <w:rPr>
                <w:rFonts w:ascii="Times New Roman" w:eastAsia="宋体" w:hAnsi="Times New Roman" w:cstheme="minorEastAsia"/>
                <w:kern w:val="0"/>
                <w:sz w:val="18"/>
                <w:szCs w:val="18"/>
              </w:rPr>
            </w:pPr>
            <w:r>
              <w:rPr>
                <w:rFonts w:ascii="Times New Roman" w:eastAsia="宋体" w:hAnsi="Times New Roman" w:cstheme="minorEastAsia" w:hint="eastAsia"/>
                <w:kern w:val="0"/>
                <w:sz w:val="18"/>
                <w:szCs w:val="18"/>
              </w:rPr>
              <w:t>14</w:t>
            </w:r>
            <w:r>
              <w:rPr>
                <w:rFonts w:ascii="Times New Roman" w:eastAsia="宋体" w:hAnsi="Times New Roman" w:cstheme="minorEastAsia" w:hint="eastAsia"/>
                <w:kern w:val="0"/>
                <w:sz w:val="18"/>
                <w:szCs w:val="18"/>
              </w:rPr>
              <w:t>处</w:t>
            </w:r>
          </w:p>
        </w:tc>
      </w:tr>
      <w:tr w:rsidR="000C29A2" w14:paraId="227FF644" w14:textId="77777777">
        <w:trPr>
          <w:cantSplit/>
          <w:trHeight w:val="23"/>
        </w:trPr>
        <w:tc>
          <w:tcPr>
            <w:tcW w:w="468" w:type="pct"/>
            <w:tcBorders>
              <w:tl2br w:val="nil"/>
              <w:tr2bl w:val="nil"/>
            </w:tcBorders>
            <w:vAlign w:val="center"/>
          </w:tcPr>
          <w:p w14:paraId="2E09BE0E" w14:textId="77777777" w:rsidR="000C29A2" w:rsidRDefault="004564DF">
            <w:pPr>
              <w:snapToGrid w:val="0"/>
              <w:spacing w:line="600" w:lineRule="atLeast"/>
              <w:jc w:val="center"/>
              <w:rPr>
                <w:rFonts w:ascii="Times New Roman" w:eastAsia="宋体" w:hAnsi="Times New Roman" w:cstheme="minorEastAsia"/>
                <w:kern w:val="0"/>
                <w:sz w:val="18"/>
                <w:szCs w:val="18"/>
              </w:rPr>
            </w:pPr>
            <w:r>
              <w:rPr>
                <w:rFonts w:ascii="Times New Roman" w:eastAsia="宋体" w:hAnsi="Times New Roman" w:cstheme="minorEastAsia" w:hint="eastAsia"/>
                <w:kern w:val="0"/>
                <w:sz w:val="18"/>
                <w:szCs w:val="18"/>
              </w:rPr>
              <w:t>8</w:t>
            </w:r>
          </w:p>
        </w:tc>
        <w:tc>
          <w:tcPr>
            <w:tcW w:w="1992" w:type="pct"/>
            <w:tcBorders>
              <w:tl2br w:val="nil"/>
              <w:tr2bl w:val="nil"/>
            </w:tcBorders>
            <w:vAlign w:val="center"/>
          </w:tcPr>
          <w:p w14:paraId="305F8EC7" w14:textId="77777777" w:rsidR="000C29A2" w:rsidRDefault="004564DF">
            <w:pPr>
              <w:snapToGrid w:val="0"/>
              <w:rPr>
                <w:rFonts w:ascii="Times New Roman" w:eastAsia="宋体" w:hAnsi="Times New Roman" w:cstheme="minorEastAsia"/>
                <w:sz w:val="18"/>
                <w:szCs w:val="18"/>
              </w:rPr>
            </w:pPr>
            <w:r>
              <w:rPr>
                <w:rFonts w:ascii="Times New Roman" w:eastAsia="宋体" w:hAnsi="Times New Roman" w:cstheme="minorEastAsia" w:hint="eastAsia"/>
                <w:sz w:val="18"/>
                <w:szCs w:val="18"/>
              </w:rPr>
              <w:t>安装供水管</w:t>
            </w:r>
          </w:p>
        </w:tc>
        <w:tc>
          <w:tcPr>
            <w:tcW w:w="1826" w:type="pct"/>
            <w:tcBorders>
              <w:tl2br w:val="nil"/>
              <w:tr2bl w:val="nil"/>
            </w:tcBorders>
            <w:vAlign w:val="center"/>
          </w:tcPr>
          <w:p w14:paraId="03ACADC5" w14:textId="77777777" w:rsidR="000C29A2" w:rsidRDefault="004564DF">
            <w:pPr>
              <w:spacing w:line="360" w:lineRule="auto"/>
              <w:rPr>
                <w:rFonts w:ascii="Times New Roman" w:eastAsia="宋体" w:hAnsi="Times New Roman" w:cstheme="minorEastAsia"/>
                <w:color w:val="000000"/>
                <w:sz w:val="18"/>
                <w:szCs w:val="18"/>
              </w:rPr>
            </w:pPr>
            <w:r>
              <w:rPr>
                <w:rFonts w:ascii="Times New Roman" w:eastAsia="宋体" w:hAnsi="Times New Roman" w:cstheme="minorEastAsia" w:hint="eastAsia"/>
                <w:color w:val="000000"/>
                <w:sz w:val="18"/>
                <w:szCs w:val="18"/>
              </w:rPr>
              <w:t>DN100</w:t>
            </w:r>
          </w:p>
        </w:tc>
        <w:tc>
          <w:tcPr>
            <w:tcW w:w="712" w:type="pct"/>
            <w:tcBorders>
              <w:tl2br w:val="nil"/>
              <w:tr2bl w:val="nil"/>
            </w:tcBorders>
            <w:vAlign w:val="center"/>
          </w:tcPr>
          <w:p w14:paraId="7AEFD049" w14:textId="77777777" w:rsidR="000C29A2" w:rsidRDefault="004564DF">
            <w:pPr>
              <w:snapToGrid w:val="0"/>
              <w:jc w:val="left"/>
              <w:rPr>
                <w:rFonts w:ascii="Times New Roman" w:eastAsia="宋体" w:hAnsi="Times New Roman" w:cstheme="minorEastAsia"/>
                <w:kern w:val="0"/>
                <w:sz w:val="18"/>
                <w:szCs w:val="18"/>
              </w:rPr>
            </w:pPr>
            <w:r>
              <w:rPr>
                <w:rFonts w:ascii="Times New Roman" w:eastAsia="宋体" w:hAnsi="Times New Roman" w:cstheme="minorEastAsia" w:hint="eastAsia"/>
                <w:kern w:val="0"/>
                <w:sz w:val="18"/>
                <w:szCs w:val="18"/>
              </w:rPr>
              <w:t>14</w:t>
            </w:r>
            <w:r>
              <w:rPr>
                <w:rFonts w:ascii="Times New Roman" w:eastAsia="宋体" w:hAnsi="Times New Roman" w:cstheme="minorEastAsia" w:hint="eastAsia"/>
                <w:kern w:val="0"/>
                <w:sz w:val="18"/>
                <w:szCs w:val="18"/>
              </w:rPr>
              <w:t>处</w:t>
            </w:r>
          </w:p>
        </w:tc>
      </w:tr>
    </w:tbl>
    <w:p w14:paraId="671C19CE" w14:textId="77777777" w:rsidR="000C29A2" w:rsidRDefault="004564DF">
      <w:pPr>
        <w:rPr>
          <w:b/>
        </w:rPr>
      </w:pPr>
      <w:r>
        <w:rPr>
          <w:rFonts w:hint="eastAsia"/>
          <w:b/>
        </w:rPr>
        <w:t>备注：</w:t>
      </w:r>
    </w:p>
    <w:p w14:paraId="4F22CDD5" w14:textId="77777777" w:rsidR="000C29A2" w:rsidRDefault="004564DF">
      <w:pPr>
        <w:snapToGrid w:val="0"/>
        <w:jc w:val="left"/>
        <w:rPr>
          <w:rFonts w:ascii="Times New Roman" w:hAnsi="Times New Roman"/>
        </w:rPr>
      </w:pPr>
      <w:r>
        <w:rPr>
          <w:rFonts w:ascii="Times New Roman" w:hAnsi="Times New Roman" w:hint="eastAsia"/>
        </w:rPr>
        <w:t>①</w:t>
      </w:r>
      <w:r>
        <w:rPr>
          <w:rFonts w:ascii="Times New Roman" w:hAnsi="Times New Roman" w:hint="eastAsia"/>
        </w:rPr>
        <w:t>所有报价均用人民币表示</w:t>
      </w:r>
      <w:r>
        <w:rPr>
          <w:rFonts w:ascii="Times New Roman" w:hAnsi="Times New Roman" w:hint="eastAsia"/>
        </w:rPr>
        <w:t>，</w:t>
      </w:r>
      <w:r>
        <w:rPr>
          <w:rFonts w:ascii="Times New Roman" w:hAnsi="Times New Roman" w:hint="eastAsia"/>
        </w:rPr>
        <w:t>其总价</w:t>
      </w:r>
      <w:r>
        <w:rPr>
          <w:rFonts w:ascii="Times New Roman" w:hAnsi="Times New Roman" w:hint="eastAsia"/>
        </w:rPr>
        <w:t>（</w:t>
      </w:r>
      <w:r>
        <w:rPr>
          <w:rFonts w:ascii="Times New Roman" w:hAnsi="Times New Roman" w:hint="eastAsia"/>
        </w:rPr>
        <w:t>合计</w:t>
      </w:r>
      <w:r>
        <w:rPr>
          <w:rFonts w:ascii="Times New Roman" w:hAnsi="Times New Roman" w:hint="eastAsia"/>
        </w:rPr>
        <w:t>）</w:t>
      </w:r>
      <w:r>
        <w:rPr>
          <w:rFonts w:ascii="Times New Roman" w:hAnsi="Times New Roman" w:hint="eastAsia"/>
        </w:rPr>
        <w:t>即为履行</w:t>
      </w:r>
      <w:r>
        <w:rPr>
          <w:rFonts w:ascii="Times New Roman" w:hAnsi="Times New Roman" w:hint="eastAsia"/>
        </w:rPr>
        <w:t>项目</w:t>
      </w:r>
      <w:r>
        <w:rPr>
          <w:rFonts w:ascii="Times New Roman" w:hAnsi="Times New Roman" w:hint="eastAsia"/>
        </w:rPr>
        <w:t>的固定价格，包括</w:t>
      </w:r>
      <w:r>
        <w:rPr>
          <w:rFonts w:ascii="Times New Roman" w:hAnsi="Times New Roman" w:hint="eastAsia"/>
        </w:rPr>
        <w:t>材料及辅材、</w:t>
      </w:r>
      <w:r>
        <w:rPr>
          <w:rFonts w:ascii="Times New Roman" w:hAnsi="Times New Roman" w:hint="eastAsia"/>
        </w:rPr>
        <w:t>运输、安装、</w:t>
      </w:r>
      <w:r>
        <w:rPr>
          <w:rFonts w:ascii="Times New Roman" w:hAnsi="Times New Roman" w:hint="eastAsia"/>
        </w:rPr>
        <w:t>拆除</w:t>
      </w:r>
      <w:r>
        <w:rPr>
          <w:rFonts w:ascii="Times New Roman" w:hAnsi="Times New Roman" w:hint="eastAsia"/>
        </w:rPr>
        <w:t>、税金等一切费用。报价为一次报出不再更改的价格</w:t>
      </w:r>
      <w:r>
        <w:rPr>
          <w:rFonts w:ascii="Times New Roman" w:hAnsi="Times New Roman" w:hint="eastAsia"/>
        </w:rPr>
        <w:t>；</w:t>
      </w:r>
    </w:p>
    <w:p w14:paraId="171D662B" w14:textId="77777777" w:rsidR="000C29A2" w:rsidRDefault="004564DF">
      <w:pPr>
        <w:snapToGrid w:val="0"/>
        <w:rPr>
          <w:rFonts w:ascii="Times New Roman" w:hAnsi="Times New Roman"/>
        </w:rPr>
      </w:pPr>
      <w:r>
        <w:rPr>
          <w:rFonts w:ascii="Times New Roman" w:hAnsi="Times New Roman" w:hint="eastAsia"/>
        </w:rPr>
        <w:t>②供应商根据项目实际需求以及项目难易程度综合考量进行综合报价；</w:t>
      </w:r>
    </w:p>
    <w:p w14:paraId="6F1E3D15" w14:textId="77777777" w:rsidR="000C29A2" w:rsidRDefault="004564DF">
      <w:pPr>
        <w:rPr>
          <w:rFonts w:ascii="Times New Roman" w:hAnsi="Times New Roman" w:cstheme="minorEastAsia"/>
          <w:sz w:val="22"/>
          <w:szCs w:val="21"/>
        </w:rPr>
      </w:pPr>
      <w:r>
        <w:rPr>
          <w:rFonts w:ascii="Times New Roman" w:hAnsi="Times New Roman" w:hint="eastAsia"/>
        </w:rPr>
        <w:t>③辅材</w:t>
      </w:r>
      <w:r>
        <w:rPr>
          <w:rFonts w:ascii="Times New Roman" w:eastAsia="宋体" w:hAnsi="Times New Roman" w:cstheme="minorEastAsia" w:hint="eastAsia"/>
          <w:color w:val="000000"/>
          <w:szCs w:val="21"/>
        </w:rPr>
        <w:t>含</w:t>
      </w:r>
      <w:r>
        <w:rPr>
          <w:rFonts w:ascii="Times New Roman" w:eastAsia="宋体" w:hAnsi="Times New Roman" w:cstheme="minorEastAsia" w:hint="eastAsia"/>
          <w:szCs w:val="21"/>
        </w:rPr>
        <w:t>六角高强度镀锌螺栓螺母、</w:t>
      </w:r>
      <w:r>
        <w:rPr>
          <w:rStyle w:val="font21"/>
          <w:rFonts w:ascii="Times New Roman" w:hAnsi="Times New Roman"/>
          <w:b w:val="0"/>
          <w:sz w:val="21"/>
          <w:szCs w:val="20"/>
          <w:lang w:bidi="ar"/>
        </w:rPr>
        <w:t>普通铸铁法兰、普通铸铁钢卡卡箍、</w:t>
      </w:r>
      <w:r>
        <w:rPr>
          <w:rFonts w:ascii="Times New Roman" w:hAnsi="Times New Roman" w:cstheme="minorEastAsia" w:hint="eastAsia"/>
          <w:sz w:val="22"/>
          <w:szCs w:val="21"/>
        </w:rPr>
        <w:t>密封橡胶垫等；</w:t>
      </w:r>
    </w:p>
    <w:p w14:paraId="1AB91072" w14:textId="77777777" w:rsidR="000C29A2" w:rsidRDefault="000C29A2"/>
    <w:p w14:paraId="589B98B5" w14:textId="77777777" w:rsidR="000C29A2" w:rsidRDefault="000C29A2"/>
    <w:sectPr w:rsidR="000C29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AF52D" w14:textId="77777777" w:rsidR="004564DF" w:rsidRDefault="004564DF" w:rsidP="00B66F57">
      <w:r>
        <w:separator/>
      </w:r>
    </w:p>
  </w:endnote>
  <w:endnote w:type="continuationSeparator" w:id="0">
    <w:p w14:paraId="4364DD8B" w14:textId="77777777" w:rsidR="004564DF" w:rsidRDefault="004564DF" w:rsidP="00B6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8E488" w14:textId="77777777" w:rsidR="004564DF" w:rsidRDefault="004564DF" w:rsidP="00B66F57">
      <w:r>
        <w:separator/>
      </w:r>
    </w:p>
  </w:footnote>
  <w:footnote w:type="continuationSeparator" w:id="0">
    <w:p w14:paraId="6041B995" w14:textId="77777777" w:rsidR="004564DF" w:rsidRDefault="004564DF" w:rsidP="00B66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dit="readOnly" w:formatting="1" w:enforcement="1" w:cryptProviderType="rsaFull" w:cryptAlgorithmClass="hash" w:cryptAlgorithmType="typeAny" w:cryptAlgorithmSid="4" w:cryptSpinCount="0" w:hash="R9WDRd49k+HdXgJY6PIz7kuzmz8=" w:salt="LHYAsRAjy+XKYMJFVxnQFg=="/>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9A2"/>
    <w:rsid w:val="000C29A2"/>
    <w:rsid w:val="004564DF"/>
    <w:rsid w:val="006B6D1F"/>
    <w:rsid w:val="00704336"/>
    <w:rsid w:val="00B66F57"/>
    <w:rsid w:val="00F74A57"/>
    <w:rsid w:val="01A050EF"/>
    <w:rsid w:val="02111B48"/>
    <w:rsid w:val="02F54FC6"/>
    <w:rsid w:val="030B2A3C"/>
    <w:rsid w:val="039E565E"/>
    <w:rsid w:val="03B46C2F"/>
    <w:rsid w:val="03D64DF8"/>
    <w:rsid w:val="04277401"/>
    <w:rsid w:val="042F62B6"/>
    <w:rsid w:val="04F217BD"/>
    <w:rsid w:val="052D6C99"/>
    <w:rsid w:val="05485881"/>
    <w:rsid w:val="05DD246D"/>
    <w:rsid w:val="05EC445F"/>
    <w:rsid w:val="068C3E93"/>
    <w:rsid w:val="069F3BC7"/>
    <w:rsid w:val="07D57174"/>
    <w:rsid w:val="084A5DB4"/>
    <w:rsid w:val="08585DDB"/>
    <w:rsid w:val="085F360E"/>
    <w:rsid w:val="08C711B3"/>
    <w:rsid w:val="08EC29C7"/>
    <w:rsid w:val="09061CDB"/>
    <w:rsid w:val="090715AF"/>
    <w:rsid w:val="09AF2373"/>
    <w:rsid w:val="09ED2E9B"/>
    <w:rsid w:val="0A375EC4"/>
    <w:rsid w:val="0A740EC6"/>
    <w:rsid w:val="0A8729A8"/>
    <w:rsid w:val="0AB67731"/>
    <w:rsid w:val="0B1F52D6"/>
    <w:rsid w:val="0B2E25C6"/>
    <w:rsid w:val="0B440899"/>
    <w:rsid w:val="0BDA11FD"/>
    <w:rsid w:val="0C112E71"/>
    <w:rsid w:val="0C3B6140"/>
    <w:rsid w:val="0C564D28"/>
    <w:rsid w:val="0C931AD8"/>
    <w:rsid w:val="0CA37841"/>
    <w:rsid w:val="0CF32576"/>
    <w:rsid w:val="0D58062B"/>
    <w:rsid w:val="0E344BF5"/>
    <w:rsid w:val="0E3E3CC5"/>
    <w:rsid w:val="0E686F94"/>
    <w:rsid w:val="0ED91C40"/>
    <w:rsid w:val="0F072309"/>
    <w:rsid w:val="0F264E85"/>
    <w:rsid w:val="0F29227F"/>
    <w:rsid w:val="0F5F5CA1"/>
    <w:rsid w:val="0F9242C9"/>
    <w:rsid w:val="0F957915"/>
    <w:rsid w:val="10022AD1"/>
    <w:rsid w:val="10881228"/>
    <w:rsid w:val="10B4201D"/>
    <w:rsid w:val="111D5E14"/>
    <w:rsid w:val="116F4196"/>
    <w:rsid w:val="11C72224"/>
    <w:rsid w:val="11CE35B2"/>
    <w:rsid w:val="11D32976"/>
    <w:rsid w:val="11D861DF"/>
    <w:rsid w:val="126B2BAF"/>
    <w:rsid w:val="128D6FC9"/>
    <w:rsid w:val="12A04F4F"/>
    <w:rsid w:val="134D0507"/>
    <w:rsid w:val="139E0D62"/>
    <w:rsid w:val="145A112D"/>
    <w:rsid w:val="14795A57"/>
    <w:rsid w:val="14885C9A"/>
    <w:rsid w:val="148B578A"/>
    <w:rsid w:val="14AE3227"/>
    <w:rsid w:val="150712B5"/>
    <w:rsid w:val="15A07014"/>
    <w:rsid w:val="16113A6D"/>
    <w:rsid w:val="163C4F8E"/>
    <w:rsid w:val="16565924"/>
    <w:rsid w:val="167F30CD"/>
    <w:rsid w:val="16E573D4"/>
    <w:rsid w:val="16EA2C3C"/>
    <w:rsid w:val="170B4961"/>
    <w:rsid w:val="170F4451"/>
    <w:rsid w:val="176A78D9"/>
    <w:rsid w:val="17AC6144"/>
    <w:rsid w:val="17DB4333"/>
    <w:rsid w:val="17E256C1"/>
    <w:rsid w:val="181B0BD3"/>
    <w:rsid w:val="181F06C4"/>
    <w:rsid w:val="187A7FF0"/>
    <w:rsid w:val="18956BD8"/>
    <w:rsid w:val="18A8690B"/>
    <w:rsid w:val="18B54B84"/>
    <w:rsid w:val="18DC65B5"/>
    <w:rsid w:val="190E24E6"/>
    <w:rsid w:val="19467ED2"/>
    <w:rsid w:val="19524AC9"/>
    <w:rsid w:val="19793E03"/>
    <w:rsid w:val="198033E4"/>
    <w:rsid w:val="19996254"/>
    <w:rsid w:val="19C239FC"/>
    <w:rsid w:val="19E00326"/>
    <w:rsid w:val="19E73463"/>
    <w:rsid w:val="1A0933D9"/>
    <w:rsid w:val="1A22449B"/>
    <w:rsid w:val="1A2F0966"/>
    <w:rsid w:val="1A9F789A"/>
    <w:rsid w:val="1AA66E7A"/>
    <w:rsid w:val="1AE654C9"/>
    <w:rsid w:val="1AF5570C"/>
    <w:rsid w:val="1BF105C9"/>
    <w:rsid w:val="1C6A3ED7"/>
    <w:rsid w:val="1CA23671"/>
    <w:rsid w:val="1CA27B15"/>
    <w:rsid w:val="1CBF2475"/>
    <w:rsid w:val="1CC7757C"/>
    <w:rsid w:val="1CFA16FF"/>
    <w:rsid w:val="1D187DD7"/>
    <w:rsid w:val="1D6372A4"/>
    <w:rsid w:val="1D7414B2"/>
    <w:rsid w:val="1DA82F09"/>
    <w:rsid w:val="1E4470D6"/>
    <w:rsid w:val="1E676920"/>
    <w:rsid w:val="1E892D3B"/>
    <w:rsid w:val="1E8E0351"/>
    <w:rsid w:val="1E8E20FF"/>
    <w:rsid w:val="1EB458DE"/>
    <w:rsid w:val="1EC65D3D"/>
    <w:rsid w:val="1F0C571A"/>
    <w:rsid w:val="1F1F544D"/>
    <w:rsid w:val="1F2C36C6"/>
    <w:rsid w:val="1FB57B5F"/>
    <w:rsid w:val="1FC3227C"/>
    <w:rsid w:val="1FFC1515"/>
    <w:rsid w:val="1FFC753C"/>
    <w:rsid w:val="208E4638"/>
    <w:rsid w:val="20D81D57"/>
    <w:rsid w:val="20FF1092"/>
    <w:rsid w:val="213D1BBA"/>
    <w:rsid w:val="21562C7C"/>
    <w:rsid w:val="21A8797C"/>
    <w:rsid w:val="220F79FB"/>
    <w:rsid w:val="22160D89"/>
    <w:rsid w:val="227635D6"/>
    <w:rsid w:val="23097A3C"/>
    <w:rsid w:val="2342170A"/>
    <w:rsid w:val="235558E1"/>
    <w:rsid w:val="23A45F21"/>
    <w:rsid w:val="23C6058D"/>
    <w:rsid w:val="23FF584D"/>
    <w:rsid w:val="248024EA"/>
    <w:rsid w:val="2503311B"/>
    <w:rsid w:val="25227A45"/>
    <w:rsid w:val="25761B3F"/>
    <w:rsid w:val="259D70CC"/>
    <w:rsid w:val="25BD151C"/>
    <w:rsid w:val="25EE5B79"/>
    <w:rsid w:val="26197B5A"/>
    <w:rsid w:val="2650413E"/>
    <w:rsid w:val="26526108"/>
    <w:rsid w:val="265A320F"/>
    <w:rsid w:val="2681079B"/>
    <w:rsid w:val="27247AA4"/>
    <w:rsid w:val="2751016E"/>
    <w:rsid w:val="278E2C4A"/>
    <w:rsid w:val="279F537D"/>
    <w:rsid w:val="27F440E8"/>
    <w:rsid w:val="28001620"/>
    <w:rsid w:val="282B6C11"/>
    <w:rsid w:val="28416434"/>
    <w:rsid w:val="28836A4D"/>
    <w:rsid w:val="2886653D"/>
    <w:rsid w:val="291D29FD"/>
    <w:rsid w:val="293D4E4D"/>
    <w:rsid w:val="29622B06"/>
    <w:rsid w:val="29E67293"/>
    <w:rsid w:val="2A9860B3"/>
    <w:rsid w:val="2B6568DD"/>
    <w:rsid w:val="2B8D373E"/>
    <w:rsid w:val="2B990335"/>
    <w:rsid w:val="2BAA2542"/>
    <w:rsid w:val="2BB331A5"/>
    <w:rsid w:val="2C1D0F66"/>
    <w:rsid w:val="2CCA2E9C"/>
    <w:rsid w:val="2D320A41"/>
    <w:rsid w:val="2D67693D"/>
    <w:rsid w:val="2D9D410D"/>
    <w:rsid w:val="2DFD104F"/>
    <w:rsid w:val="2E5073D1"/>
    <w:rsid w:val="2EAD65D1"/>
    <w:rsid w:val="2FB120F1"/>
    <w:rsid w:val="2FBE036A"/>
    <w:rsid w:val="2FDD4C94"/>
    <w:rsid w:val="3034687E"/>
    <w:rsid w:val="30D75B88"/>
    <w:rsid w:val="311A3CC6"/>
    <w:rsid w:val="31374878"/>
    <w:rsid w:val="31987CCA"/>
    <w:rsid w:val="31D765FE"/>
    <w:rsid w:val="323E5792"/>
    <w:rsid w:val="32690A61"/>
    <w:rsid w:val="32803FFD"/>
    <w:rsid w:val="32870EE7"/>
    <w:rsid w:val="329D070B"/>
    <w:rsid w:val="32D57EA5"/>
    <w:rsid w:val="331309CD"/>
    <w:rsid w:val="332350B4"/>
    <w:rsid w:val="33242BDA"/>
    <w:rsid w:val="33ED121E"/>
    <w:rsid w:val="33EF4F96"/>
    <w:rsid w:val="343230D5"/>
    <w:rsid w:val="346A286F"/>
    <w:rsid w:val="34D04DC8"/>
    <w:rsid w:val="3579545F"/>
    <w:rsid w:val="36034D29"/>
    <w:rsid w:val="36107446"/>
    <w:rsid w:val="363475D8"/>
    <w:rsid w:val="366854D4"/>
    <w:rsid w:val="36A75FFC"/>
    <w:rsid w:val="36DE12F2"/>
    <w:rsid w:val="371D006C"/>
    <w:rsid w:val="377A54BF"/>
    <w:rsid w:val="37D56B99"/>
    <w:rsid w:val="382A0C93"/>
    <w:rsid w:val="384D2BD3"/>
    <w:rsid w:val="38EA6674"/>
    <w:rsid w:val="39047736"/>
    <w:rsid w:val="398B236F"/>
    <w:rsid w:val="39A24859"/>
    <w:rsid w:val="39D8471E"/>
    <w:rsid w:val="39FC040D"/>
    <w:rsid w:val="3A064DE8"/>
    <w:rsid w:val="3B4007CD"/>
    <w:rsid w:val="3B6B584A"/>
    <w:rsid w:val="3B7D557D"/>
    <w:rsid w:val="3BDD7DCA"/>
    <w:rsid w:val="3C1F6635"/>
    <w:rsid w:val="3CBE5E4E"/>
    <w:rsid w:val="3D143CBF"/>
    <w:rsid w:val="3D4F4CF8"/>
    <w:rsid w:val="3D7D7AB7"/>
    <w:rsid w:val="3D8C5F4C"/>
    <w:rsid w:val="3DA70690"/>
    <w:rsid w:val="3E495252"/>
    <w:rsid w:val="3EA03A5D"/>
    <w:rsid w:val="3EAF3CA0"/>
    <w:rsid w:val="3EBC016B"/>
    <w:rsid w:val="3EC3599D"/>
    <w:rsid w:val="3EFB6EE5"/>
    <w:rsid w:val="3F0D4E6A"/>
    <w:rsid w:val="3F4F7231"/>
    <w:rsid w:val="3F9A4950"/>
    <w:rsid w:val="3FD61700"/>
    <w:rsid w:val="40330901"/>
    <w:rsid w:val="40E96A40"/>
    <w:rsid w:val="41285F8B"/>
    <w:rsid w:val="412D70FE"/>
    <w:rsid w:val="41586871"/>
    <w:rsid w:val="415E19AD"/>
    <w:rsid w:val="42276243"/>
    <w:rsid w:val="423D5A66"/>
    <w:rsid w:val="42497F67"/>
    <w:rsid w:val="42DC0DDB"/>
    <w:rsid w:val="43160791"/>
    <w:rsid w:val="434846C3"/>
    <w:rsid w:val="43505326"/>
    <w:rsid w:val="435C1F1C"/>
    <w:rsid w:val="441E71D2"/>
    <w:rsid w:val="44332C7D"/>
    <w:rsid w:val="443F7874"/>
    <w:rsid w:val="44450C02"/>
    <w:rsid w:val="448B1361"/>
    <w:rsid w:val="44B00772"/>
    <w:rsid w:val="456F23DB"/>
    <w:rsid w:val="463158E2"/>
    <w:rsid w:val="46AE0CE1"/>
    <w:rsid w:val="46DD15C6"/>
    <w:rsid w:val="46E22739"/>
    <w:rsid w:val="470D1EAB"/>
    <w:rsid w:val="471F1BDF"/>
    <w:rsid w:val="473F5DDD"/>
    <w:rsid w:val="47777325"/>
    <w:rsid w:val="47811F51"/>
    <w:rsid w:val="47CD163B"/>
    <w:rsid w:val="47F92430"/>
    <w:rsid w:val="48117779"/>
    <w:rsid w:val="48691363"/>
    <w:rsid w:val="48C42A3E"/>
    <w:rsid w:val="48F350D1"/>
    <w:rsid w:val="48FF5824"/>
    <w:rsid w:val="493E459E"/>
    <w:rsid w:val="4950607F"/>
    <w:rsid w:val="49836455"/>
    <w:rsid w:val="49B4660E"/>
    <w:rsid w:val="49BF6D61"/>
    <w:rsid w:val="49FA5FEB"/>
    <w:rsid w:val="4A266DE0"/>
    <w:rsid w:val="4A2F038B"/>
    <w:rsid w:val="4A631DE2"/>
    <w:rsid w:val="4A742241"/>
    <w:rsid w:val="4AB03279"/>
    <w:rsid w:val="4ACC3E2B"/>
    <w:rsid w:val="4B7C13AE"/>
    <w:rsid w:val="4B840262"/>
    <w:rsid w:val="4BC845F3"/>
    <w:rsid w:val="4C787DC7"/>
    <w:rsid w:val="4CDD7C2A"/>
    <w:rsid w:val="4CDE39A2"/>
    <w:rsid w:val="4CE54D31"/>
    <w:rsid w:val="4D221AE1"/>
    <w:rsid w:val="4D534390"/>
    <w:rsid w:val="4D9C1893"/>
    <w:rsid w:val="4DB01E62"/>
    <w:rsid w:val="4E434405"/>
    <w:rsid w:val="4E8011B5"/>
    <w:rsid w:val="4E8862BB"/>
    <w:rsid w:val="4E9B1B4B"/>
    <w:rsid w:val="4EDD03B5"/>
    <w:rsid w:val="4F0F2539"/>
    <w:rsid w:val="4F7B197C"/>
    <w:rsid w:val="4F840831"/>
    <w:rsid w:val="4F9A62A6"/>
    <w:rsid w:val="4FC155E1"/>
    <w:rsid w:val="501F67AB"/>
    <w:rsid w:val="504306EC"/>
    <w:rsid w:val="50B74C36"/>
    <w:rsid w:val="50C3182D"/>
    <w:rsid w:val="510065DD"/>
    <w:rsid w:val="520B1EEC"/>
    <w:rsid w:val="522B58DB"/>
    <w:rsid w:val="52306A4E"/>
    <w:rsid w:val="528A2602"/>
    <w:rsid w:val="53071EA5"/>
    <w:rsid w:val="53204D14"/>
    <w:rsid w:val="536F17F8"/>
    <w:rsid w:val="53AE2320"/>
    <w:rsid w:val="540208BE"/>
    <w:rsid w:val="550348EE"/>
    <w:rsid w:val="5527238A"/>
    <w:rsid w:val="55450A62"/>
    <w:rsid w:val="558B763C"/>
    <w:rsid w:val="55A21A11"/>
    <w:rsid w:val="55B41744"/>
    <w:rsid w:val="55FF50B5"/>
    <w:rsid w:val="564B02FA"/>
    <w:rsid w:val="567C04B4"/>
    <w:rsid w:val="56CD51B3"/>
    <w:rsid w:val="56E322E1"/>
    <w:rsid w:val="573A3ECB"/>
    <w:rsid w:val="574B60D8"/>
    <w:rsid w:val="580469B3"/>
    <w:rsid w:val="5923730C"/>
    <w:rsid w:val="5988716F"/>
    <w:rsid w:val="5A5B2AD6"/>
    <w:rsid w:val="5AC97A40"/>
    <w:rsid w:val="5ADC7773"/>
    <w:rsid w:val="5B9444F1"/>
    <w:rsid w:val="5C076A71"/>
    <w:rsid w:val="5DD9443E"/>
    <w:rsid w:val="5DF9063C"/>
    <w:rsid w:val="5E8720EC"/>
    <w:rsid w:val="5E9640DD"/>
    <w:rsid w:val="5ECE3876"/>
    <w:rsid w:val="5F3E6C4E"/>
    <w:rsid w:val="5F3F6522"/>
    <w:rsid w:val="5FE62E42"/>
    <w:rsid w:val="60206354"/>
    <w:rsid w:val="60EF5D26"/>
    <w:rsid w:val="61007F33"/>
    <w:rsid w:val="617C3A5E"/>
    <w:rsid w:val="618B3CA1"/>
    <w:rsid w:val="61926DDD"/>
    <w:rsid w:val="61CD250B"/>
    <w:rsid w:val="61F730E4"/>
    <w:rsid w:val="61FA4982"/>
    <w:rsid w:val="6252656D"/>
    <w:rsid w:val="625B3673"/>
    <w:rsid w:val="62B80AC5"/>
    <w:rsid w:val="62E713AB"/>
    <w:rsid w:val="62E95123"/>
    <w:rsid w:val="6329551F"/>
    <w:rsid w:val="633640E0"/>
    <w:rsid w:val="63C139AA"/>
    <w:rsid w:val="64032214"/>
    <w:rsid w:val="644B7717"/>
    <w:rsid w:val="64607667"/>
    <w:rsid w:val="655A2308"/>
    <w:rsid w:val="659B647C"/>
    <w:rsid w:val="65B65064"/>
    <w:rsid w:val="65C6799D"/>
    <w:rsid w:val="65FE7137"/>
    <w:rsid w:val="663867BD"/>
    <w:rsid w:val="667473F9"/>
    <w:rsid w:val="668B64F1"/>
    <w:rsid w:val="669058B5"/>
    <w:rsid w:val="66974E96"/>
    <w:rsid w:val="66AD46B9"/>
    <w:rsid w:val="673426E5"/>
    <w:rsid w:val="677156E7"/>
    <w:rsid w:val="67B850C4"/>
    <w:rsid w:val="67C1041C"/>
    <w:rsid w:val="68014CBD"/>
    <w:rsid w:val="68182006"/>
    <w:rsid w:val="682E182A"/>
    <w:rsid w:val="684150B9"/>
    <w:rsid w:val="68D67EF7"/>
    <w:rsid w:val="68D73C6F"/>
    <w:rsid w:val="692769A5"/>
    <w:rsid w:val="69540E1C"/>
    <w:rsid w:val="69561038"/>
    <w:rsid w:val="696E6382"/>
    <w:rsid w:val="69D41F5D"/>
    <w:rsid w:val="6A356EA0"/>
    <w:rsid w:val="6AAE71DF"/>
    <w:rsid w:val="6B4078AA"/>
    <w:rsid w:val="6B8754D9"/>
    <w:rsid w:val="6B8974A3"/>
    <w:rsid w:val="6B99345E"/>
    <w:rsid w:val="6BBD0EFB"/>
    <w:rsid w:val="6BCF0C2E"/>
    <w:rsid w:val="6C1A634D"/>
    <w:rsid w:val="6C726189"/>
    <w:rsid w:val="6CF03552"/>
    <w:rsid w:val="6D5E670D"/>
    <w:rsid w:val="6D611D5A"/>
    <w:rsid w:val="6E0E3C8F"/>
    <w:rsid w:val="6E2F3C06"/>
    <w:rsid w:val="6E66587A"/>
    <w:rsid w:val="6E7206C2"/>
    <w:rsid w:val="6E865F1C"/>
    <w:rsid w:val="6E9F0D8B"/>
    <w:rsid w:val="6EA168B2"/>
    <w:rsid w:val="6F060E0B"/>
    <w:rsid w:val="6F074F72"/>
    <w:rsid w:val="6F2D1F03"/>
    <w:rsid w:val="6F307C36"/>
    <w:rsid w:val="6FAB748D"/>
    <w:rsid w:val="6FDD7DBD"/>
    <w:rsid w:val="6FE54EC4"/>
    <w:rsid w:val="70C745CA"/>
    <w:rsid w:val="70D311C0"/>
    <w:rsid w:val="710650F2"/>
    <w:rsid w:val="71F31B1A"/>
    <w:rsid w:val="72442376"/>
    <w:rsid w:val="725D51E5"/>
    <w:rsid w:val="7292411C"/>
    <w:rsid w:val="72C6689B"/>
    <w:rsid w:val="7318735E"/>
    <w:rsid w:val="731955B0"/>
    <w:rsid w:val="7379604F"/>
    <w:rsid w:val="737F73DD"/>
    <w:rsid w:val="738A200A"/>
    <w:rsid w:val="744C3764"/>
    <w:rsid w:val="745B5755"/>
    <w:rsid w:val="74980757"/>
    <w:rsid w:val="75954C96"/>
    <w:rsid w:val="75A66EA3"/>
    <w:rsid w:val="75AD0232"/>
    <w:rsid w:val="75BF7F65"/>
    <w:rsid w:val="765B5EE0"/>
    <w:rsid w:val="765E777E"/>
    <w:rsid w:val="76BB072D"/>
    <w:rsid w:val="76C770D1"/>
    <w:rsid w:val="77754D7F"/>
    <w:rsid w:val="779C055E"/>
    <w:rsid w:val="781C169F"/>
    <w:rsid w:val="788449C2"/>
    <w:rsid w:val="78986F77"/>
    <w:rsid w:val="78AA0A59"/>
    <w:rsid w:val="78E932AF"/>
    <w:rsid w:val="78EC1071"/>
    <w:rsid w:val="78F46292"/>
    <w:rsid w:val="78F85C68"/>
    <w:rsid w:val="792425B9"/>
    <w:rsid w:val="79556C16"/>
    <w:rsid w:val="7984574E"/>
    <w:rsid w:val="79975481"/>
    <w:rsid w:val="79D20267"/>
    <w:rsid w:val="79E461EC"/>
    <w:rsid w:val="7A652E89"/>
    <w:rsid w:val="7AEC7106"/>
    <w:rsid w:val="7AEF4E49"/>
    <w:rsid w:val="7AF745AA"/>
    <w:rsid w:val="7B811F45"/>
    <w:rsid w:val="7BBB4D2B"/>
    <w:rsid w:val="7C4F3DF1"/>
    <w:rsid w:val="7CA35EEB"/>
    <w:rsid w:val="7CD97B5E"/>
    <w:rsid w:val="7D0746CC"/>
    <w:rsid w:val="7D3923AB"/>
    <w:rsid w:val="7D4D5E56"/>
    <w:rsid w:val="7D8B70AB"/>
    <w:rsid w:val="7DD24CD9"/>
    <w:rsid w:val="7DD65E4C"/>
    <w:rsid w:val="7DF05160"/>
    <w:rsid w:val="7E094473"/>
    <w:rsid w:val="7E1075B0"/>
    <w:rsid w:val="7E4B683A"/>
    <w:rsid w:val="7E4F632A"/>
    <w:rsid w:val="7E5F22E5"/>
    <w:rsid w:val="7F0F5AB9"/>
    <w:rsid w:val="7F286B7B"/>
    <w:rsid w:val="7F62208D"/>
    <w:rsid w:val="7F71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basedOn w:val="a0"/>
    <w:qFormat/>
    <w:rPr>
      <w:rFonts w:ascii="宋体" w:eastAsia="宋体" w:hAnsi="宋体" w:cs="宋体" w:hint="eastAsia"/>
      <w:b/>
      <w:bCs/>
      <w:color w:val="000000"/>
      <w:sz w:val="22"/>
      <w:szCs w:val="22"/>
      <w:u w:val="none"/>
    </w:rPr>
  </w:style>
  <w:style w:type="paragraph" w:styleId="a3">
    <w:name w:val="header"/>
    <w:basedOn w:val="a"/>
    <w:link w:val="Char"/>
    <w:rsid w:val="00B66F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66F57"/>
    <w:rPr>
      <w:kern w:val="2"/>
      <w:sz w:val="18"/>
      <w:szCs w:val="18"/>
    </w:rPr>
  </w:style>
  <w:style w:type="paragraph" w:styleId="a4">
    <w:name w:val="footer"/>
    <w:basedOn w:val="a"/>
    <w:link w:val="Char0"/>
    <w:rsid w:val="00B66F57"/>
    <w:pPr>
      <w:tabs>
        <w:tab w:val="center" w:pos="4153"/>
        <w:tab w:val="right" w:pos="8306"/>
      </w:tabs>
      <w:snapToGrid w:val="0"/>
      <w:jc w:val="left"/>
    </w:pPr>
    <w:rPr>
      <w:sz w:val="18"/>
      <w:szCs w:val="18"/>
    </w:rPr>
  </w:style>
  <w:style w:type="character" w:customStyle="1" w:styleId="Char0">
    <w:name w:val="页脚 Char"/>
    <w:basedOn w:val="a0"/>
    <w:link w:val="a4"/>
    <w:rsid w:val="00B66F5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basedOn w:val="a0"/>
    <w:qFormat/>
    <w:rPr>
      <w:rFonts w:ascii="宋体" w:eastAsia="宋体" w:hAnsi="宋体" w:cs="宋体" w:hint="eastAsia"/>
      <w:b/>
      <w:bCs/>
      <w:color w:val="000000"/>
      <w:sz w:val="22"/>
      <w:szCs w:val="22"/>
      <w:u w:val="none"/>
    </w:rPr>
  </w:style>
  <w:style w:type="paragraph" w:styleId="a3">
    <w:name w:val="header"/>
    <w:basedOn w:val="a"/>
    <w:link w:val="Char"/>
    <w:rsid w:val="00B66F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66F57"/>
    <w:rPr>
      <w:kern w:val="2"/>
      <w:sz w:val="18"/>
      <w:szCs w:val="18"/>
    </w:rPr>
  </w:style>
  <w:style w:type="paragraph" w:styleId="a4">
    <w:name w:val="footer"/>
    <w:basedOn w:val="a"/>
    <w:link w:val="Char0"/>
    <w:rsid w:val="00B66F57"/>
    <w:pPr>
      <w:tabs>
        <w:tab w:val="center" w:pos="4153"/>
        <w:tab w:val="right" w:pos="8306"/>
      </w:tabs>
      <w:snapToGrid w:val="0"/>
      <w:jc w:val="left"/>
    </w:pPr>
    <w:rPr>
      <w:sz w:val="18"/>
      <w:szCs w:val="18"/>
    </w:rPr>
  </w:style>
  <w:style w:type="character" w:customStyle="1" w:styleId="Char0">
    <w:name w:val="页脚 Char"/>
    <w:basedOn w:val="a0"/>
    <w:link w:val="a4"/>
    <w:rsid w:val="00B66F5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b8903866-dfb9-4a0f-be6a-d7d8ffec7fa3</errorID>
      <errorWord>涡轮</errorWord>
      <group>L1_Word</group>
      <groupName>字词问题</groupName>
      <ability>L2_Typo</ability>
      <abilityName>字词错误</abilityName>
      <candidateList>
        <item>蜗轮</item>
      </candidateList>
      <explain/>
      <paraID>1BE0DC2D</paraID>
      <start>0</start>
      <end>2</end>
      <status>ignored</status>
      <modifiedWord/>
      <trackRevisions>false</trackRevisions>
    </reviewItem>
    <reviewItem>
      <errorID>76116157-91c9-4c0d-b046-d631008be099</errorID>
      <errorWord>涡轮</errorWord>
      <group>L1_Word</group>
      <groupName>字词问题</groupName>
      <ability>L2_Typo</ability>
      <abilityName>字词错误</abilityName>
      <candidateList>
        <item>蜗轮</item>
      </candidateList>
      <explain/>
      <paraID>5DEA0904</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19E4F58E-227F-4A46-8D29-CB862BE9B27F}">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2479</Characters>
  <Application>Microsoft Office Word</Application>
  <DocSecurity>8</DocSecurity>
  <Lines>20</Lines>
  <Paragraphs>5</Paragraphs>
  <ScaleCrop>false</ScaleCrop>
  <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消防科</dc:creator>
  <cp:lastModifiedBy>Hl</cp:lastModifiedBy>
  <cp:revision>2</cp:revision>
  <dcterms:created xsi:type="dcterms:W3CDTF">2026-01-28T08:29:00Z</dcterms:created>
  <dcterms:modified xsi:type="dcterms:W3CDTF">2026-01-28T08:29:00Z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eyJoZGlkIjoiYjk5MGZlMjY5YjRhYzVhMjJjOGU0NTgyOTk2Y2U5MjEiLCJ1c2VySWQiOiIyNjU0NTAwNzEifQ==</vt:lpwstr>
  </property>
  <property fmtid="{D5CDD505-2E9C-101B-9397-08002B2CF9AE}" pid="4" name="ICV">
    <vt:lpwstr>FA22CED668724E7B918D9F1F63D99C17_12</vt:lpwstr>
  </property>
</Properties>
</file>