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7B7F5">
      <w:pPr>
        <w:pStyle w:val="19"/>
        <w:spacing w:line="240" w:lineRule="auto"/>
        <w:jc w:val="both"/>
        <w:rPr>
          <w:rFonts w:hint="eastAsia"/>
          <w:sz w:val="44"/>
          <w:szCs w:val="44"/>
          <w:lang w:val="en-US" w:eastAsia="zh-CN"/>
        </w:rPr>
      </w:pPr>
      <w:bookmarkStart w:id="11" w:name="_GoBack"/>
      <w:bookmarkEnd w:id="11"/>
    </w:p>
    <w:p w14:paraId="6FD5D8C6">
      <w:pPr>
        <w:pStyle w:val="19"/>
        <w:spacing w:line="240" w:lineRule="auto"/>
        <w:jc w:val="both"/>
        <w:rPr>
          <w:rFonts w:hint="eastAsia"/>
          <w:sz w:val="44"/>
          <w:szCs w:val="44"/>
          <w:lang w:val="en-US" w:eastAsia="zh-CN"/>
        </w:rPr>
      </w:pPr>
    </w:p>
    <w:p w14:paraId="3B0FFF9F">
      <w:pPr>
        <w:pStyle w:val="19"/>
        <w:spacing w:line="240" w:lineRule="auto"/>
        <w:rPr>
          <w:rFonts w:hint="eastAsia"/>
          <w:sz w:val="44"/>
          <w:szCs w:val="44"/>
          <w:lang w:val="en-US" w:eastAsia="zh-CN"/>
        </w:rPr>
      </w:pPr>
    </w:p>
    <w:p w14:paraId="329F1C05">
      <w:pPr>
        <w:pStyle w:val="19"/>
        <w:spacing w:line="240" w:lineRule="auto"/>
        <w:rPr>
          <w:rFonts w:hint="eastAsia"/>
          <w:sz w:val="72"/>
          <w:szCs w:val="72"/>
          <w:lang w:val="en-US" w:eastAsia="zh-CN"/>
        </w:rPr>
      </w:pPr>
    </w:p>
    <w:p w14:paraId="74CDB7B4">
      <w:pPr>
        <w:pStyle w:val="19"/>
        <w:spacing w:line="240" w:lineRule="auto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平安南邮使用手册</w:t>
      </w:r>
    </w:p>
    <w:p w14:paraId="74F867F8">
      <w:pPr>
        <w:pStyle w:val="19"/>
        <w:spacing w:line="240" w:lineRule="auto"/>
        <w:rPr>
          <w:rFonts w:hint="default" w:eastAsia="黑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（学生端）</w:t>
      </w:r>
    </w:p>
    <w:p w14:paraId="6C122406">
      <w:pPr>
        <w:pStyle w:val="19"/>
        <w:spacing w:line="240" w:lineRule="auto"/>
        <w:rPr>
          <w:sz w:val="44"/>
          <w:szCs w:val="44"/>
        </w:rPr>
      </w:pPr>
    </w:p>
    <w:p w14:paraId="5B1D7267">
      <w:pPr>
        <w:pStyle w:val="19"/>
        <w:spacing w:line="240" w:lineRule="auto"/>
        <w:rPr>
          <w:sz w:val="44"/>
          <w:szCs w:val="44"/>
        </w:rPr>
      </w:pPr>
    </w:p>
    <w:p w14:paraId="3B573666">
      <w:pPr>
        <w:pStyle w:val="19"/>
        <w:spacing w:line="240" w:lineRule="auto"/>
        <w:rPr>
          <w:sz w:val="44"/>
          <w:szCs w:val="44"/>
        </w:rPr>
      </w:pPr>
    </w:p>
    <w:p w14:paraId="4D926F07">
      <w:pPr>
        <w:pStyle w:val="19"/>
        <w:spacing w:line="240" w:lineRule="auto"/>
        <w:rPr>
          <w:rFonts w:hint="default" w:eastAsia="黑体"/>
          <w:sz w:val="44"/>
          <w:szCs w:val="44"/>
          <w:lang w:val="en-US" w:eastAsia="zh-CN"/>
        </w:rPr>
      </w:pPr>
    </w:p>
    <w:p w14:paraId="7E7B71BD">
      <w:pPr>
        <w:pStyle w:val="19"/>
        <w:spacing w:line="240" w:lineRule="auto"/>
        <w:rPr>
          <w:sz w:val="44"/>
          <w:szCs w:val="44"/>
        </w:rPr>
      </w:pPr>
    </w:p>
    <w:p w14:paraId="1DF5C458">
      <w:pPr>
        <w:pStyle w:val="19"/>
        <w:spacing w:line="240" w:lineRule="auto"/>
        <w:rPr>
          <w:sz w:val="44"/>
          <w:szCs w:val="44"/>
        </w:rPr>
      </w:pPr>
    </w:p>
    <w:p w14:paraId="7FD45852">
      <w:pPr>
        <w:pStyle w:val="19"/>
        <w:spacing w:line="240" w:lineRule="auto"/>
        <w:rPr>
          <w:sz w:val="44"/>
          <w:szCs w:val="44"/>
        </w:rPr>
      </w:pPr>
    </w:p>
    <w:p w14:paraId="6FB3825B">
      <w:pPr>
        <w:pStyle w:val="19"/>
        <w:spacing w:line="240" w:lineRule="auto"/>
        <w:jc w:val="both"/>
        <w:rPr>
          <w:sz w:val="44"/>
          <w:szCs w:val="44"/>
        </w:rPr>
      </w:pPr>
    </w:p>
    <w:p w14:paraId="3E8EB098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outlineLvl w:val="9"/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id w:val="147464795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黑体" w:cs="Times New Roman"/>
          <w:kern w:val="2"/>
          <w:sz w:val="36"/>
          <w:szCs w:val="24"/>
          <w:lang w:val="en-US" w:eastAsia="zh-CN" w:bidi="ar-SA"/>
        </w:rPr>
      </w:sdtEndPr>
      <w:sdtContent>
        <w:p w14:paraId="7B198792">
          <w:pPr>
            <w:pStyle w:val="25"/>
            <w:outlineLvl w:val="9"/>
          </w:pPr>
          <w:r>
            <w:t>目录</w:t>
          </w:r>
          <w:bookmarkStart w:id="0" w:name="_Toc24976"/>
        </w:p>
      </w:sdtContent>
    </w:sdt>
    <w:bookmarkEnd w:id="0"/>
    <w:p w14:paraId="39281DBF">
      <w:pPr>
        <w:pStyle w:val="2"/>
        <w:numPr>
          <w:ilvl w:val="0"/>
          <w:numId w:val="0"/>
        </w:numPr>
        <w:topLinePunct w:val="0"/>
        <w:ind w:leftChars="0"/>
        <w:rPr>
          <w:rFonts w:hint="eastAsia" w:ascii="黑体" w:hAnsi="黑体" w:eastAsia="黑体" w:cs="黑体"/>
          <w:b w:val="0"/>
        </w:rPr>
      </w:pPr>
      <w:bookmarkStart w:id="1" w:name="_Toc234"/>
      <w:r>
        <w:rPr>
          <w:rFonts w:hint="eastAsia"/>
          <w:lang w:val="en-US" w:eastAsia="zh-CN"/>
        </w:rPr>
        <w:t>1.</w:t>
      </w:r>
      <w:r>
        <w:t>登录与角色说明</w:t>
      </w:r>
      <w:bookmarkEnd w:id="1"/>
    </w:p>
    <w:p w14:paraId="6971DF0C">
      <w:pPr>
        <w:pStyle w:val="3"/>
        <w:numPr>
          <w:ilvl w:val="0"/>
          <w:numId w:val="0"/>
        </w:numPr>
        <w:topLinePunct w:val="0"/>
        <w:ind w:leftChars="0"/>
        <w:rPr>
          <w:rFonts w:hint="eastAsia" w:ascii="黑体" w:hAnsi="黑体" w:eastAsia="黑体" w:cs="黑体"/>
          <w:b w:val="0"/>
        </w:rPr>
      </w:pPr>
      <w:bookmarkStart w:id="2" w:name="_Toc32328"/>
      <w:r>
        <w:rPr>
          <w:rFonts w:hint="eastAsia"/>
          <w:lang w:val="en-US" w:eastAsia="zh-CN"/>
        </w:rPr>
        <w:t>1.1</w:t>
      </w:r>
      <w:r>
        <w:t>登录方式</w:t>
      </w:r>
      <w:bookmarkEnd w:id="2"/>
    </w:p>
    <w:p w14:paraId="645BD4AB">
      <w:pPr>
        <w:pStyle w:val="4"/>
        <w:numPr>
          <w:ilvl w:val="0"/>
          <w:numId w:val="0"/>
        </w:numPr>
        <w:topLinePunct w:val="0"/>
        <w:ind w:leftChars="0"/>
        <w:rPr>
          <w:rFonts w:hint="eastAsia" w:eastAsia="宋体" w:cs="Times New Roman"/>
          <w:kern w:val="2"/>
          <w:sz w:val="24"/>
          <w:szCs w:val="24"/>
          <w:lang w:val="en-US" w:eastAsia="zh-CN" w:bidi="ar-SA"/>
        </w:rPr>
      </w:pPr>
      <w:bookmarkStart w:id="3" w:name="_Toc4676"/>
      <w:r>
        <w:rPr>
          <w:rFonts w:hint="eastAsia" w:eastAsia="宋体" w:cs="Times New Roman"/>
          <w:kern w:val="2"/>
          <w:sz w:val="24"/>
          <w:szCs w:val="24"/>
          <w:lang w:val="en-US" w:eastAsia="zh-CN" w:bidi="ar-SA"/>
        </w:rPr>
        <w:t>1.1.1移动端登录</w:t>
      </w:r>
      <w:bookmarkEnd w:id="3"/>
    </w:p>
    <w:p w14:paraId="527631BC">
      <w:pPr>
        <w:pStyle w:val="11"/>
      </w:pPr>
      <w:r>
        <w:t>打开</w:t>
      </w:r>
      <w:r>
        <w:rPr>
          <w:rFonts w:hint="eastAsia"/>
          <w:lang w:val="en-US" w:eastAsia="zh-CN"/>
        </w:rPr>
        <w:t>南京邮电大学</w:t>
      </w:r>
      <w:r>
        <w:t>企业微信，点击进入“工作台”</w:t>
      </w:r>
      <w:r>
        <w:rPr>
          <w:rFonts w:hint="eastAsia"/>
          <w:lang w:eastAsia="zh-CN"/>
        </w:rPr>
        <w:t>－</w:t>
      </w:r>
      <w:r>
        <w:t>“平安南邮”。</w:t>
      </w:r>
    </w:p>
    <w:p w14:paraId="21CD1ACB">
      <w:pPr>
        <w:pStyle w:val="11"/>
        <w:spacing w:line="240" w:lineRule="auto"/>
        <w:jc w:val="center"/>
      </w:pPr>
      <w:r>
        <w:drawing>
          <wp:inline distT="0" distB="0" distL="114300" distR="114300">
            <wp:extent cx="1168400" cy="2520315"/>
            <wp:effectExtent l="0" t="0" r="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AFA34">
      <w:pPr>
        <w:pStyle w:val="11"/>
        <w:spacing w:line="240" w:lineRule="auto"/>
        <w:jc w:val="center"/>
      </w:pPr>
    </w:p>
    <w:p w14:paraId="0D89A709">
      <w:pPr>
        <w:pStyle w:val="3"/>
        <w:numPr>
          <w:ilvl w:val="0"/>
          <w:numId w:val="0"/>
        </w:numPr>
        <w:topLinePunct w:val="0"/>
        <w:ind w:leftChars="0"/>
        <w:rPr>
          <w:rFonts w:hint="eastAsia" w:ascii="黑体" w:hAnsi="黑体" w:eastAsia="黑体" w:cs="黑体"/>
          <w:b w:val="0"/>
        </w:rPr>
      </w:pPr>
      <w:bookmarkStart w:id="4" w:name="_Toc29461"/>
      <w:r>
        <w:rPr>
          <w:rFonts w:hint="eastAsia"/>
          <w:lang w:val="en-US" w:eastAsia="zh-CN"/>
        </w:rPr>
        <w:t>1.2</w:t>
      </w:r>
      <w:r>
        <w:t>用户角色与权限说明</w:t>
      </w:r>
      <w:bookmarkEnd w:id="4"/>
    </w:p>
    <w:tbl>
      <w:tblPr>
        <w:tblStyle w:val="2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284"/>
        <w:gridCol w:w="6275"/>
      </w:tblGrid>
      <w:tr w14:paraId="26FF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1334" w:type="pct"/>
            <w:shd w:val="clear" w:color="auto" w:fill="FFFFFF"/>
            <w:vAlign w:val="center"/>
          </w:tcPr>
          <w:p w14:paraId="50FE4F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角色</w:t>
            </w:r>
          </w:p>
        </w:tc>
        <w:tc>
          <w:tcPr>
            <w:tcW w:w="3665" w:type="pct"/>
            <w:shd w:val="clear" w:color="auto" w:fill="FFFFFF"/>
            <w:vAlign w:val="center"/>
          </w:tcPr>
          <w:p w14:paraId="7CB47B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主要功能</w:t>
            </w:r>
          </w:p>
        </w:tc>
      </w:tr>
      <w:tr w14:paraId="5E6B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1182" w:hRule="atLeast"/>
          <w:jc w:val="center"/>
        </w:trPr>
        <w:tc>
          <w:tcPr>
            <w:tcW w:w="1334" w:type="pct"/>
            <w:shd w:val="clear" w:color="auto" w:fill="FFFFFF"/>
            <w:vAlign w:val="center"/>
          </w:tcPr>
          <w:p w14:paraId="760373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本科生</w:t>
            </w:r>
          </w:p>
          <w:p w14:paraId="7557BA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硕士生</w:t>
            </w:r>
          </w:p>
          <w:p w14:paraId="65C2A9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博士生</w:t>
            </w:r>
          </w:p>
        </w:tc>
        <w:tc>
          <w:tcPr>
            <w:tcW w:w="3665" w:type="pct"/>
            <w:shd w:val="clear" w:color="auto" w:fill="FFFFFF"/>
            <w:vAlign w:val="center"/>
          </w:tcPr>
          <w:p w14:paraId="376A6B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lang w:val="en-US" w:eastAsia="zh-CN" w:bidi="ar"/>
              </w:rPr>
              <w:t>交通管理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：自行车通行证申请、查看我的违章</w:t>
            </w:r>
          </w:p>
          <w:p w14:paraId="4D9C60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lang w:val="en-US" w:eastAsia="zh-CN" w:bidi="ar"/>
              </w:rPr>
              <w:t>我要报案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：案件填报</w:t>
            </w:r>
          </w:p>
        </w:tc>
      </w:tr>
    </w:tbl>
    <w:p w14:paraId="61DBCBB8">
      <w:pPr>
        <w:pStyle w:val="2"/>
        <w:numPr>
          <w:ilvl w:val="0"/>
          <w:numId w:val="0"/>
        </w:numPr>
        <w:topLinePunct w:val="0"/>
        <w:ind w:leftChars="0"/>
        <w:rPr>
          <w:rFonts w:hint="eastAsia" w:ascii="黑体" w:hAnsi="黑体" w:eastAsia="黑体" w:cs="黑体"/>
          <w:b w:val="0"/>
        </w:rPr>
      </w:pPr>
      <w:bookmarkStart w:id="5" w:name="_Toc12347"/>
      <w:r>
        <w:rPr>
          <w:rFonts w:hint="eastAsia"/>
          <w:lang w:val="en-US" w:eastAsia="zh-CN"/>
        </w:rPr>
        <w:t>2.</w:t>
      </w:r>
      <w:r>
        <w:t>操作指南</w:t>
      </w:r>
      <w:bookmarkEnd w:id="5"/>
    </w:p>
    <w:p w14:paraId="00F96401">
      <w:pPr>
        <w:pStyle w:val="3"/>
        <w:numPr>
          <w:ilvl w:val="0"/>
          <w:numId w:val="0"/>
        </w:numPr>
        <w:topLinePunct w:val="0"/>
        <w:ind w:leftChars="0"/>
        <w:rPr>
          <w:rFonts w:hint="eastAsia" w:ascii="黑体" w:hAnsi="黑体" w:eastAsia="黑体" w:cs="黑体"/>
          <w:b w:val="0"/>
        </w:rPr>
      </w:pPr>
      <w:bookmarkStart w:id="6" w:name="_Toc25580"/>
      <w:r>
        <w:rPr>
          <w:rFonts w:hint="eastAsia"/>
          <w:lang w:val="en-US" w:eastAsia="zh-CN"/>
        </w:rPr>
        <w:t>2.1</w:t>
      </w:r>
      <w:r>
        <w:t>交通管理</w:t>
      </w:r>
      <w:bookmarkEnd w:id="6"/>
    </w:p>
    <w:p w14:paraId="095E198F">
      <w:pPr>
        <w:pStyle w:val="4"/>
        <w:numPr>
          <w:ilvl w:val="0"/>
          <w:numId w:val="0"/>
        </w:numPr>
        <w:topLinePunct w:val="0"/>
        <w:ind w:leftChars="0"/>
        <w:rPr>
          <w:rFonts w:hint="eastAsia" w:eastAsia="宋体" w:cs="Times New Roman"/>
          <w:kern w:val="2"/>
          <w:sz w:val="24"/>
          <w:szCs w:val="24"/>
          <w:lang w:val="en-US" w:eastAsia="zh-CN" w:bidi="ar-SA"/>
        </w:rPr>
      </w:pPr>
      <w:bookmarkStart w:id="7" w:name="_Toc10656"/>
      <w:r>
        <w:rPr>
          <w:rFonts w:hint="eastAsia" w:eastAsia="宋体" w:cs="Times New Roman"/>
          <w:kern w:val="2"/>
          <w:sz w:val="24"/>
          <w:szCs w:val="24"/>
          <w:lang w:val="en-US" w:eastAsia="zh-CN" w:bidi="ar-SA"/>
        </w:rPr>
        <w:t>2.1.1车辆通行证申请</w:t>
      </w:r>
      <w:bookmarkEnd w:id="7"/>
    </w:p>
    <w:p w14:paraId="3DC86F89">
      <w:pPr>
        <w:pStyle w:val="11"/>
        <w:rPr>
          <w:rFonts w:hint="eastAsia" w:eastAsia="宋体"/>
          <w:lang w:val="en-US" w:eastAsia="zh-CN"/>
        </w:rPr>
      </w:pPr>
      <w:r>
        <w:t>进入“交通管理” → “车辆线上办理”；点击“添加新车辆”，根据车辆类型填写信息：</w:t>
      </w:r>
    </w:p>
    <w:p w14:paraId="7BE7E9A1">
      <w:pPr>
        <w:pStyle w:val="11"/>
      </w:pPr>
      <w:r>
        <w:t>自行车：</w:t>
      </w:r>
      <w:r>
        <w:rPr>
          <w:rFonts w:hint="eastAsia"/>
          <w:lang w:val="en-US" w:eastAsia="zh-CN"/>
        </w:rPr>
        <w:t>前往各校区指定地点，现场</w:t>
      </w:r>
      <w:r>
        <w:t>填写有效校园通行证号码；</w:t>
      </w:r>
    </w:p>
    <w:p w14:paraId="4B6C3279">
      <w:pPr>
        <w:pStyle w:val="11"/>
        <w:rPr>
          <w:rFonts w:hint="eastAsia"/>
        </w:rPr>
      </w:pPr>
      <w:r>
        <w:rPr>
          <w:rFonts w:hint="eastAsia"/>
          <w:lang w:val="en-US" w:eastAsia="zh-CN"/>
        </w:rPr>
        <w:t>各校区</w:t>
      </w:r>
      <w:r>
        <w:t>自行车</w:t>
      </w:r>
      <w:r>
        <w:rPr>
          <w:rFonts w:hint="eastAsia"/>
          <w:lang w:val="en-US" w:eastAsia="zh-CN"/>
        </w:rPr>
        <w:t>通行证领取地点</w:t>
      </w:r>
      <w:r>
        <w:rPr>
          <w:rFonts w:hint="eastAsia"/>
        </w:rPr>
        <w:t>：</w:t>
      </w:r>
    </w:p>
    <w:p w14:paraId="6CFA4756">
      <w:pPr>
        <w:pStyle w:val="11"/>
        <w:rPr>
          <w:rFonts w:hint="eastAsia" w:eastAsia="宋体"/>
          <w:highlight w:val="red"/>
          <w:lang w:val="en-US" w:eastAsia="zh-CN"/>
        </w:rPr>
      </w:pPr>
      <w:r>
        <w:rPr>
          <w:rFonts w:hint="eastAsia"/>
        </w:rPr>
        <w:t>（1）仙林校区：西</w:t>
      </w:r>
      <w:r>
        <w:rPr>
          <w:rFonts w:hint="eastAsia"/>
          <w:lang w:val="en-US" w:eastAsia="zh-CN"/>
        </w:rPr>
        <w:t>大</w:t>
      </w:r>
      <w:r>
        <w:rPr>
          <w:rFonts w:hint="eastAsia"/>
        </w:rPr>
        <w:t>门</w:t>
      </w:r>
      <w:r>
        <w:rPr>
          <w:rFonts w:hint="eastAsia"/>
          <w:lang w:val="en-US" w:eastAsia="zh-CN"/>
        </w:rPr>
        <w:t>门卫室</w:t>
      </w:r>
      <w:r>
        <w:rPr>
          <w:rFonts w:hint="eastAsia"/>
        </w:rPr>
        <w:t>，工作日 9:00-11:00、13:30-17:00，联系电话025-85866110。</w:t>
      </w:r>
    </w:p>
    <w:p w14:paraId="31B3588F">
      <w:pPr>
        <w:pStyle w:val="11"/>
        <w:rPr>
          <w:rFonts w:hint="eastAsia"/>
        </w:rPr>
      </w:pPr>
      <w:r>
        <w:rPr>
          <w:rFonts w:hint="eastAsia"/>
        </w:rPr>
        <w:t>（2）三牌楼校区：羽毛球馆北侧治安岗亭，工作日 9:00-11:00、13:30-17:00</w:t>
      </w:r>
      <w:r>
        <w:rPr>
          <w:rFonts w:hint="eastAsia"/>
          <w:lang w:eastAsia="zh-CN"/>
        </w:rPr>
        <w:t>，</w:t>
      </w:r>
      <w:r>
        <w:rPr>
          <w:rFonts w:hint="eastAsia"/>
        </w:rPr>
        <w:t>联系电话</w:t>
      </w:r>
      <w:r>
        <w:rPr>
          <w:rFonts w:hint="eastAsia"/>
          <w:lang w:val="en-US" w:eastAsia="zh-CN"/>
        </w:rPr>
        <w:t>025-</w:t>
      </w:r>
      <w:r>
        <w:rPr>
          <w:rFonts w:hint="eastAsia"/>
        </w:rPr>
        <w:t>83492110。</w:t>
      </w:r>
    </w:p>
    <w:p w14:paraId="39FDA5E0">
      <w:pPr>
        <w:pStyle w:val="11"/>
        <w:rPr>
          <w:rFonts w:hint="eastAsia"/>
        </w:rPr>
      </w:pPr>
      <w:r>
        <w:rPr>
          <w:rFonts w:hint="eastAsia"/>
        </w:rPr>
        <w:t>（3）锁金村校区：西门门卫室，工作日 9:00-11:00、13:30-17:00</w:t>
      </w:r>
      <w:r>
        <w:rPr>
          <w:rFonts w:hint="eastAsia"/>
          <w:lang w:eastAsia="zh-CN"/>
        </w:rPr>
        <w:t>，</w:t>
      </w:r>
      <w:r>
        <w:rPr>
          <w:rFonts w:hint="eastAsia"/>
        </w:rPr>
        <w:t>联系电话025-85483110。</w:t>
      </w:r>
    </w:p>
    <w:p w14:paraId="186017C4">
      <w:pPr>
        <w:pStyle w:val="11"/>
        <w:spacing w:line="240" w:lineRule="auto"/>
        <w:jc w:val="center"/>
      </w:pPr>
      <w:r>
        <w:drawing>
          <wp:inline distT="0" distB="0" distL="114300" distR="114300">
            <wp:extent cx="1177925" cy="2520315"/>
            <wp:effectExtent l="0" t="0" r="3175" b="6985"/>
            <wp:docPr id="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71575" cy="2520315"/>
            <wp:effectExtent l="0" t="0" r="9525" b="6985"/>
            <wp:docPr id="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88720" cy="2520315"/>
            <wp:effectExtent l="0" t="0" r="5080" b="6985"/>
            <wp:docPr id="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A3024">
      <w:pPr>
        <w:pStyle w:val="11"/>
        <w:spacing w:line="240" w:lineRule="auto"/>
        <w:jc w:val="center"/>
      </w:pPr>
    </w:p>
    <w:p w14:paraId="51CC1D01">
      <w:pPr>
        <w:pStyle w:val="11"/>
        <w:spacing w:line="240" w:lineRule="auto"/>
        <w:jc w:val="center"/>
      </w:pPr>
    </w:p>
    <w:p w14:paraId="587A5462">
      <w:pPr>
        <w:pStyle w:val="11"/>
        <w:spacing w:line="240" w:lineRule="auto"/>
        <w:jc w:val="center"/>
      </w:pPr>
    </w:p>
    <w:p w14:paraId="212ACEE3">
      <w:pPr>
        <w:pStyle w:val="11"/>
        <w:spacing w:line="240" w:lineRule="auto"/>
        <w:jc w:val="center"/>
      </w:pPr>
    </w:p>
    <w:p w14:paraId="1947F7C6">
      <w:pPr>
        <w:pStyle w:val="4"/>
        <w:numPr>
          <w:ilvl w:val="0"/>
          <w:numId w:val="0"/>
        </w:numPr>
        <w:topLinePunct w:val="0"/>
        <w:ind w:leftChars="0"/>
        <w:rPr>
          <w:rFonts w:hint="eastAsia" w:eastAsia="宋体" w:cs="Times New Roman"/>
          <w:kern w:val="2"/>
          <w:sz w:val="24"/>
          <w:szCs w:val="24"/>
          <w:lang w:val="en-US" w:eastAsia="zh-CN" w:bidi="ar-SA"/>
        </w:rPr>
      </w:pPr>
      <w:bookmarkStart w:id="8" w:name="_Toc20599"/>
      <w:r>
        <w:rPr>
          <w:rFonts w:hint="eastAsia" w:eastAsia="宋体" w:cs="Times New Roman"/>
          <w:kern w:val="2"/>
          <w:sz w:val="24"/>
          <w:szCs w:val="24"/>
          <w:lang w:val="en-US" w:eastAsia="zh-CN" w:bidi="ar-SA"/>
        </w:rPr>
        <w:t>2.1.2我的违章</w:t>
      </w:r>
      <w:bookmarkEnd w:id="8"/>
    </w:p>
    <w:p w14:paraId="57CC29D7">
      <w:pPr>
        <w:pStyle w:val="11"/>
      </w:pPr>
      <w:r>
        <w:t>进入“交通管理” → “我的违章”，查看本人违章记录。</w:t>
      </w:r>
    </w:p>
    <w:p w14:paraId="1A2CC8EC">
      <w:pPr>
        <w:pStyle w:val="11"/>
        <w:spacing w:line="240" w:lineRule="auto"/>
        <w:jc w:val="center"/>
      </w:pPr>
      <w:r>
        <w:drawing>
          <wp:inline distT="0" distB="0" distL="114300" distR="114300">
            <wp:extent cx="1213485" cy="2520315"/>
            <wp:effectExtent l="0" t="0" r="5715" b="6985"/>
            <wp:docPr id="8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69035" cy="2520315"/>
            <wp:effectExtent l="0" t="0" r="12065" b="6985"/>
            <wp:docPr id="8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92530" cy="2520315"/>
            <wp:effectExtent l="0" t="0" r="1270" b="6985"/>
            <wp:docPr id="8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17F6F">
      <w:pPr>
        <w:pStyle w:val="3"/>
        <w:numPr>
          <w:ilvl w:val="0"/>
          <w:numId w:val="0"/>
        </w:numPr>
        <w:topLinePunct w:val="0"/>
        <w:ind w:leftChars="0"/>
        <w:rPr>
          <w:rFonts w:hint="eastAsia" w:ascii="黑体" w:hAnsi="黑体" w:eastAsia="黑体" w:cs="黑体"/>
          <w:b w:val="0"/>
        </w:rPr>
      </w:pPr>
      <w:bookmarkStart w:id="9" w:name="_Toc1832"/>
      <w:r>
        <w:rPr>
          <w:rFonts w:hint="eastAsia"/>
          <w:lang w:val="en-US" w:eastAsia="zh-CN"/>
        </w:rPr>
        <w:t>2.2</w:t>
      </w:r>
      <w:r>
        <w:t>我要报案</w:t>
      </w:r>
      <w:bookmarkEnd w:id="9"/>
    </w:p>
    <w:p w14:paraId="56F40622">
      <w:pPr>
        <w:pStyle w:val="4"/>
        <w:numPr>
          <w:ilvl w:val="0"/>
          <w:numId w:val="0"/>
        </w:numPr>
        <w:topLinePunct w:val="0"/>
        <w:ind w:leftChars="0"/>
        <w:rPr>
          <w:rFonts w:hint="eastAsia" w:eastAsia="宋体" w:cs="Times New Roman"/>
          <w:kern w:val="2"/>
          <w:sz w:val="24"/>
          <w:szCs w:val="24"/>
          <w:lang w:val="en-US" w:eastAsia="zh-CN" w:bidi="ar-SA"/>
        </w:rPr>
      </w:pPr>
      <w:bookmarkStart w:id="10" w:name="_Toc972"/>
      <w:r>
        <w:rPr>
          <w:rFonts w:hint="eastAsia" w:eastAsia="宋体" w:cs="Times New Roman"/>
          <w:kern w:val="2"/>
          <w:sz w:val="24"/>
          <w:szCs w:val="24"/>
          <w:lang w:val="en-US" w:eastAsia="zh-CN" w:bidi="ar-SA"/>
        </w:rPr>
        <w:t>2.2.1案件填报</w:t>
      </w:r>
      <w:bookmarkEnd w:id="10"/>
    </w:p>
    <w:p w14:paraId="63451A45">
      <w:pPr>
        <w:pStyle w:val="11"/>
      </w:pPr>
      <w:r>
        <w:t>进入“我要报案” → “案件填报”；</w:t>
      </w:r>
    </w:p>
    <w:p w14:paraId="331456E8">
      <w:pPr>
        <w:pStyle w:val="11"/>
      </w:pPr>
      <w:r>
        <w:t>点击“案件填报”，填写案件信息；</w:t>
      </w:r>
    </w:p>
    <w:p w14:paraId="12F0595C">
      <w:pPr>
        <w:pStyle w:val="11"/>
      </w:pPr>
      <w:r>
        <w:t>选择</w:t>
      </w:r>
      <w:r>
        <w:rPr>
          <w:rFonts w:hint="eastAsia"/>
          <w:lang w:val="en-US" w:eastAsia="zh-CN"/>
        </w:rPr>
        <w:t>保卫处管理员</w:t>
      </w:r>
      <w:r>
        <w:t>审批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待审核流程结束后，可至各校区校园技防报警中心调阅监控。</w:t>
      </w:r>
    </w:p>
    <w:p w14:paraId="15C3A58C">
      <w:pPr>
        <w:pStyle w:val="11"/>
        <w:spacing w:line="240" w:lineRule="auto"/>
      </w:pPr>
      <w:r>
        <w:drawing>
          <wp:inline distT="0" distB="0" distL="114300" distR="114300">
            <wp:extent cx="1191895" cy="2520315"/>
            <wp:effectExtent l="0" t="0" r="1905" b="6985"/>
            <wp:docPr id="44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05230" cy="2520315"/>
            <wp:effectExtent l="0" t="0" r="1270" b="6985"/>
            <wp:docPr id="45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97610" cy="2520315"/>
            <wp:effectExtent l="0" t="0" r="8890" b="6985"/>
            <wp:docPr id="47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55700" cy="2520315"/>
            <wp:effectExtent l="0" t="0" r="0" b="6985"/>
            <wp:docPr id="46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B5864">
      <w:pPr>
        <w:pStyle w:val="11"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AFC1E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" name="文本框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07D9E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FSExU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tJYZpVPz04/vp&#10;58Pp1zeCMwjUuDBD3L1DZGzf2RZtM5wHHCbebeV1+oIRgR/yHi/yijYSni5NJ9NpDheHb9gAP3u8&#10;7nyI74XVJBkF9ahfJys7bELsQ4eQlM3YtVSqq6EypAGJ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FSEx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207D9E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80619"/>
    <w:rsid w:val="098C05B9"/>
    <w:rsid w:val="0CC47EE3"/>
    <w:rsid w:val="14BC5944"/>
    <w:rsid w:val="14EF0366"/>
    <w:rsid w:val="195B397D"/>
    <w:rsid w:val="1D4DDA0F"/>
    <w:rsid w:val="1E7E7ACB"/>
    <w:rsid w:val="1FBF0EBF"/>
    <w:rsid w:val="280B47C0"/>
    <w:rsid w:val="284E0B51"/>
    <w:rsid w:val="28CB4B97"/>
    <w:rsid w:val="2B621401"/>
    <w:rsid w:val="37080FED"/>
    <w:rsid w:val="38242728"/>
    <w:rsid w:val="3D6C17D1"/>
    <w:rsid w:val="421330E5"/>
    <w:rsid w:val="426121AF"/>
    <w:rsid w:val="42E63A08"/>
    <w:rsid w:val="48C36A60"/>
    <w:rsid w:val="49051E4D"/>
    <w:rsid w:val="4AB80380"/>
    <w:rsid w:val="51671F45"/>
    <w:rsid w:val="52607735"/>
    <w:rsid w:val="539208C1"/>
    <w:rsid w:val="5BBDB732"/>
    <w:rsid w:val="5BFF4876"/>
    <w:rsid w:val="5FDD3443"/>
    <w:rsid w:val="5FFFE2DD"/>
    <w:rsid w:val="642B3C32"/>
    <w:rsid w:val="678F6EA8"/>
    <w:rsid w:val="6AF866D1"/>
    <w:rsid w:val="6B405351"/>
    <w:rsid w:val="6BBA46C2"/>
    <w:rsid w:val="6BED2021"/>
    <w:rsid w:val="6D7FCAAE"/>
    <w:rsid w:val="6DE3242E"/>
    <w:rsid w:val="6E72E140"/>
    <w:rsid w:val="6EDDAD15"/>
    <w:rsid w:val="6FBBEEC7"/>
    <w:rsid w:val="73DB3C17"/>
    <w:rsid w:val="775E6B5E"/>
    <w:rsid w:val="7BFDB4AA"/>
    <w:rsid w:val="7FCBFE45"/>
    <w:rsid w:val="9FDD5692"/>
    <w:rsid w:val="B5FF935C"/>
    <w:rsid w:val="B77F6D25"/>
    <w:rsid w:val="B7FD0322"/>
    <w:rsid w:val="BEB94694"/>
    <w:rsid w:val="BFFFC59C"/>
    <w:rsid w:val="D311FFFB"/>
    <w:rsid w:val="DD7FBA67"/>
    <w:rsid w:val="EDDB53F7"/>
    <w:rsid w:val="F79F6274"/>
    <w:rsid w:val="FB7FB79A"/>
    <w:rsid w:val="FC7FCB01"/>
    <w:rsid w:val="FFFBA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21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toc 3"/>
    <w:basedOn w:val="1"/>
    <w:next w:val="1"/>
    <w:qFormat/>
    <w:uiPriority w:val="0"/>
    <w:pPr>
      <w:ind w:left="840" w:leftChars="400"/>
    </w:pPr>
    <w:rPr>
      <w:rFonts w:ascii="黑体" w:hAnsi="黑体" w:eastAsia="黑体" w:cs="黑体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0"/>
    <w:rPr>
      <w:rFonts w:hint="eastAsia" w:ascii="黑体" w:hAnsi="黑体" w:eastAsia="黑体" w:cs="黑体"/>
    </w:rPr>
  </w:style>
  <w:style w:type="paragraph" w:styleId="16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7">
    <w:name w:val="toc 2"/>
    <w:basedOn w:val="1"/>
    <w:next w:val="1"/>
    <w:qFormat/>
    <w:uiPriority w:val="0"/>
    <w:pPr>
      <w:ind w:left="420" w:leftChars="200"/>
    </w:pPr>
    <w:rPr>
      <w:rFonts w:hint="eastAsia" w:ascii="黑体" w:hAnsi="黑体" w:eastAsia="黑体" w:cs="黑体"/>
    </w:rPr>
  </w:style>
  <w:style w:type="paragraph" w:styleId="18">
    <w:name w:val="Normal (Web)"/>
    <w:basedOn w:val="1"/>
    <w:qFormat/>
    <w:uiPriority w:val="0"/>
    <w:rPr>
      <w:sz w:val="24"/>
    </w:rPr>
  </w:style>
  <w:style w:type="paragraph" w:styleId="19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FollowedHyperlink"/>
    <w:basedOn w:val="21"/>
    <w:qFormat/>
    <w:uiPriority w:val="0"/>
    <w:rPr>
      <w:color w:val="800080"/>
      <w:u w:val="single"/>
    </w:rPr>
  </w:style>
  <w:style w:type="character" w:styleId="24">
    <w:name w:val="Hyperlink"/>
    <w:basedOn w:val="21"/>
    <w:qFormat/>
    <w:uiPriority w:val="0"/>
    <w:rPr>
      <w:color w:val="0000FF"/>
      <w:u w:val="single"/>
    </w:rPr>
  </w:style>
  <w:style w:type="paragraph" w:customStyle="1" w:styleId="25">
    <w:name w:val="章标题"/>
    <w:next w:val="1"/>
    <w:uiPriority w:val="0"/>
    <w:pPr>
      <w:widowControl w:val="0"/>
      <w:adjustRightInd w:val="0"/>
      <w:spacing w:before="100" w:after="100" w:line="360" w:lineRule="auto"/>
      <w:jc w:val="center"/>
      <w:outlineLvl w:val="0"/>
    </w:pPr>
    <w:rPr>
      <w:rFonts w:ascii="Times New Roman" w:hAnsi="Times New Roman" w:eastAsia="黑体" w:cs="Times New Roman"/>
      <w:kern w:val="44"/>
      <w:sz w:val="36"/>
      <w:szCs w:val="44"/>
      <w:lang w:bidi="ar-SA"/>
    </w:rPr>
  </w:style>
  <w:style w:type="paragraph" w:styleId="2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</Words>
  <Characters>24</Characters>
  <Lines>0</Lines>
  <Paragraphs>0</Paragraphs>
  <TotalTime>11</TotalTime>
  <ScaleCrop>false</ScaleCrop>
  <LinksUpToDate>false</LinksUpToDate>
  <CharactersWithSpaces>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2025-09-28T23:29:00Z</dcterms:created>
  <dc:creator>15282</dc:creator>
  <cp:lastModifiedBy>岁月永恒</cp:lastModifiedBy>
  <dcterms:modified xsi:type="dcterms:W3CDTF">2026-03-06T04:25:20Z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eyJoZGlkIjoiNGQ4NTc4NTk0ZjllOGUwOGMxOGJjY2YyMTNjZDI5NTAiLCJ1c2VySWQiOiIxNTM2MTM4MDU2In0=</vt:lpwstr>
  </property>
  <property fmtid="{D5CDD505-2E9C-101B-9397-08002B2CF9AE}" pid="4" name="ICV">
    <vt:lpwstr>B7D374BB0C7A436A904F5BEBB3F7BE39_13</vt:lpwstr>
  </property>
</Properties>
</file>