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8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供货要求：</w:t>
      </w:r>
    </w:p>
    <w:p w14:paraId="3EA06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1.权利保证：供应商应保证出卖给买方的产品或产品任何部分非他人所有或与他人共有，未设有抵押权、租赁权，未侵犯他人的专利权、版权、商标权等知识产权。一旦出现侵权，卖方应承担全部责任。</w:t>
      </w:r>
    </w:p>
    <w:p w14:paraId="0C0F7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产品质量：①产品质量应符合中华人民共和国国家安全质量标准、环保标准、行业标准或货物来源国官方标准；②产品所有技术性能规格及参数，应符合招标文件和卖方投标文件所要求的技术标准及生产厂商公开的宣传资料和生产厂商官方网站宣传内容的标准要求。③卖方应保证提供的产品是全新未使用过的原厂合格正品（包括零部件），表面无划损、无任何缺陷隐患，在中国境内可依常规安全合法使用。应提供有效材料（抽验的检验报告或质量认证证书或者合格证或上级行政部门颁发的相关符合质量证书或其他任何可以有效证明产品质量合格的资料）证明其产品符合或优于质量要求。</w:t>
      </w:r>
    </w:p>
    <w:p w14:paraId="034E4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3.货物为原厂商未启封全新包装，序列号、包装箱号与出厂批号一致，并可追溯查阅。</w:t>
      </w:r>
    </w:p>
    <w:p w14:paraId="7876D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4.安装要求：所有提供的货物均要按照最新《建筑设计防火规范》进行安装调试；供货安装过程必须严格按照南京邮电大学相关要求进行，过程中不得影响在校师生正常的教学与生活，更不得与在校师生、物业人员产生冲突；安装过程中不得损坏原有消防设施设备，如有损坏情况必须无条件换新，安装过程中产生的一切费用由供应商负责。</w:t>
      </w:r>
    </w:p>
    <w:p w14:paraId="228EA1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5.供应商必须按照采购方具体要求安装消防设施设备，并负责在指定区域安装调试。在质保期内出现任何质量问题由供应商承担。</w:t>
      </w:r>
    </w:p>
    <w:p w14:paraId="75F44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6.供应商负责所有需要安装的消防设施设备的搬运、安装、调试工作，在这过程中出现的供应商单位人员人身及物品安全问题由供应商自行负责，与甲方无关。</w:t>
      </w:r>
    </w:p>
    <w:p w14:paraId="1F7B8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供应商须知：</w:t>
      </w:r>
    </w:p>
    <w:p w14:paraId="185A1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应按照项目需求报价，标明所提供的设备品牌、规格型号，主要部件型号及其功能的中文说明，供货期等；每项货物和服务只允许有一个报价，任何有选择的报价将不予接受（如有备选配件，备选配件的报价不属于选择的报价）。</w:t>
      </w:r>
    </w:p>
    <w:p w14:paraId="7D203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2.报价采取总承包方式，包括所投产品、安装调试、服务、运输、税金及其他有关的为完成本项目发生的所有费用，以人民币报价。</w:t>
      </w:r>
    </w:p>
    <w:p w14:paraId="3B918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3.报价总价款是完成本项目所发生的所有含税费用、支付给员工的工资和国家强制缴纳的各种社会保障资金，以及供应商认为需要的其他费用等。</w:t>
      </w:r>
    </w:p>
    <w:p w14:paraId="42FF98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b/>
          <w:bCs/>
          <w:sz w:val="24"/>
          <w:lang w:val="en-US" w:eastAsia="zh-CN"/>
        </w:rPr>
        <w:t>其他具体要求：</w:t>
      </w:r>
    </w:p>
    <w:p w14:paraId="0C9A9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1.提供的货物由供应商免费安装、组装、测试等直至设备运转正常。项目外所产生的一切费用均由供应商承担，与甲方无关；</w:t>
      </w:r>
    </w:p>
    <w:p w14:paraId="2395B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2.具有独立承担民事责任的能力；</w:t>
      </w:r>
    </w:p>
    <w:p w14:paraId="5F22B2F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3.甲方不提供住宿场所以及校内住宿场地；</w:t>
      </w:r>
    </w:p>
    <w:p w14:paraId="25E35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4.供货时间为甲方指定的时间（由甲方向供应商派发施工单或电话通知）次日起2日内完成拆除供货安装测试调试；若2日内无法完成拆除供货安装测试超出甲方指定完工的日期，根据实际情况处理；每超过一天（不足一天按照一整天计算）甲方按照供应商报价总价款的5%进行处罚（从决算中扣除）；供货安装测试调试产生的所有费用以及所有工作人员的人身安全等由供应商承担与甲方无关；供应商必须在报价响应文件中单独出具供货安装测试完成交付的具体时间的承诺书，不提供视为无效报价响应文件；</w:t>
      </w:r>
    </w:p>
    <w:p w14:paraId="19CFE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甲方单位组织专家等对供应商所提供货物、安装完成后的运转情况进行鉴定验收（阶段鉴定验收、终期鉴定验收、全数检验验收、抽样检验验收），若发现虚假、作假，不满足相关规范要求的现象，甲方有权要求供应商及时进行整改，（整改期间的时间计算在甲方指定完工的日期内，产生的一切后果及费用由供应商承担，与甲方无关）；若在甲方限期内整改后仍然无法达到相关规范要求或未能整改，由供应商向甲方单位（单次）</w:t>
      </w:r>
      <w:bookmarkStart w:id="3" w:name="_GoBack"/>
      <w:bookmarkEnd w:id="3"/>
      <w:r>
        <w:rPr>
          <w:rFonts w:hint="eastAsia" w:ascii="Times New Roman" w:hAnsi="Times New Roman" w:eastAsia="宋体"/>
          <w:sz w:val="22"/>
          <w:szCs w:val="22"/>
          <w:lang w:val="en-US" w:eastAsia="zh-CN"/>
        </w:rPr>
        <w:t>偿付总价的5%处罚金（从决算中扣除）。</w:t>
      </w:r>
    </w:p>
    <w:p w14:paraId="765FA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供应商在拆除安装测试调试期间，须安排一名具有中级消防设施操作员（检测维修保养方向）及以上资质的人员为现场项目负责人，对此次维修换新拆除安装过程进行全时全程监督监管，确保现场工作人员操作符合相关规范要求，直至安装交付验收完毕；供应商还须安排在有效期内的特种作业操作证（电工作业）或者电工职业资格证的现场作业人员，对此类人员的安排供应商需在报价响应文件中向甲方单位单独出具承诺书，不提供视为无效报价响应文件；甲方将不定时派员巡视此次项目的进度完成情况。甲方若发现工作期间现场无项目负责人在现场监督，甲方有权立即叫停，要求供应商立即整改（停工期间的时间计算在甲方指定完工的日期内，产生的一切后果及费用由供应商承担，与甲方无关）；甲方若发现工作期间现场项目负责人及作业人员属无证人员，甲方有权立即叫停，要求供应商立即整改（停工期间的时间计算在甲方指定完工的日期内，产生的一切后果及费用由供应商承担与甲方无关）；</w:t>
      </w:r>
    </w:p>
    <w:p w14:paraId="0E7BE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7.货物进场后，甲方对货物质量、品牌、型号、数量等进行鉴定查验。货物符合标准经甲方同意后方可安装；若货物不符合标准，甲方有权立即退货，要求供应商在甲方指定时间内（以甲方书面指定时间为准）进行调换（调换的时间计算在甲方指定的日期内）。若甲方邀请质量检测机构对货物质量进行鉴定。货物符合标准的，鉴定费由甲方承担；货物不符合质量标准的，鉴定费由供应商承担、并调换有问题商品或部件（调换的时间计算在甲方指定的日期内），产生的一切后果及费用由供应商承担，与甲方无关。</w:t>
      </w:r>
    </w:p>
    <w:p w14:paraId="42444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8.供应商应保证货物是全新、未使用过的原装合格正品，并完全符合生产企业或国家规定的质量、规格和性能的要求。供应商需在报价响应文件中向甲方单位单独出具承诺书，不提供视为无效报价响应文件；</w:t>
      </w:r>
    </w:p>
    <w:p w14:paraId="26786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9.安装过程中若对电线、电路、电缆、光纤等线路、管网等造成损坏影响，均由供应商承担相关费用及后果，与甲方无关。供应商必须按照相关部门的要求和规定及时修复。</w:t>
      </w:r>
    </w:p>
    <w:p w14:paraId="3D9900CF">
      <w:pPr>
        <w:pStyle w:val="2"/>
        <w:bidi w:val="0"/>
        <w:jc w:val="center"/>
        <w:rPr>
          <w:rFonts w:hint="eastAsia"/>
          <w:b/>
          <w:sz w:val="36"/>
          <w:szCs w:val="36"/>
        </w:rPr>
      </w:pPr>
      <w:r>
        <w:rPr>
          <w:rFonts w:hint="eastAsia"/>
          <w:b/>
          <w:sz w:val="36"/>
          <w:szCs w:val="36"/>
        </w:rPr>
        <w:t>承诺书</w:t>
      </w:r>
    </w:p>
    <w:p w14:paraId="780C11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我公司郑重承诺具备以下条件：</w:t>
      </w:r>
    </w:p>
    <w:p w14:paraId="142DE4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1.具有独立承担民事责任的能力；</w:t>
      </w:r>
    </w:p>
    <w:p w14:paraId="20531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2.具有良好的商业信誉；</w:t>
      </w:r>
    </w:p>
    <w:p w14:paraId="102129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3.具有履行合同所必需的设备和专业技术能力；</w:t>
      </w:r>
    </w:p>
    <w:p w14:paraId="3D1ED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4.有依法缴纳税收的良好记录；</w:t>
      </w:r>
    </w:p>
    <w:p w14:paraId="3A4510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5.参加本次采购活动前三年内，在经营活动中没有重大违法记录；</w:t>
      </w:r>
    </w:p>
    <w:p w14:paraId="093F9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6.法律、行政法规规定的其他条件。</w:t>
      </w:r>
    </w:p>
    <w:p w14:paraId="14F5ED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p>
    <w:p w14:paraId="375F33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供应商名称：XXX（盖章）</w:t>
      </w:r>
    </w:p>
    <w:p w14:paraId="61D46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rPr>
        <w:t>日期：XXX年XX月</w:t>
      </w:r>
      <w:bookmarkStart w:id="0" w:name="_格式3__银行出具的资信证明"/>
      <w:bookmarkEnd w:id="0"/>
      <w:bookmarkStart w:id="1" w:name="_Hlt26671380"/>
      <w:bookmarkEnd w:id="1"/>
      <w:bookmarkStart w:id="2" w:name="_Hlt26955070"/>
      <w:bookmarkEnd w:id="2"/>
      <w:r>
        <w:rPr>
          <w:rFonts w:hint="eastAsia" w:ascii="Times New Roman" w:hAnsi="Times New Roman" w:eastAsia="宋体"/>
          <w:sz w:val="24"/>
        </w:rPr>
        <w:t>XX</w:t>
      </w:r>
      <w:r>
        <w:rPr>
          <w:rFonts w:hint="eastAsia" w:ascii="Times New Roman" w:hAnsi="Times New Roman" w:eastAsia="宋体"/>
          <w:sz w:val="24"/>
          <w:lang w:val="en-US" w:eastAsia="zh-CN"/>
        </w:rPr>
        <w:t>日</w:t>
      </w:r>
    </w:p>
    <w:p w14:paraId="36C08F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p>
    <w:p w14:paraId="78EF92CC">
      <w:pPr>
        <w:keepNext w:val="0"/>
        <w:keepLines w:val="0"/>
        <w:pageBreakBefore w:val="0"/>
        <w:widowControl/>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Times New Roman"/>
          <w:b/>
          <w:bCs/>
          <w:sz w:val="32"/>
          <w:szCs w:val="32"/>
          <w:lang w:val="en-US" w:eastAsia="zh-CN"/>
        </w:rPr>
      </w:pPr>
    </w:p>
    <w:p w14:paraId="6C3FBBF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仿宋"/>
          <w:b w:val="0"/>
          <w:bCs w:val="0"/>
          <w:color w:val="333333"/>
          <w:sz w:val="24"/>
          <w:szCs w:val="24"/>
          <w:lang w:val="en-US" w:eastAsia="zh-CN"/>
        </w:rPr>
      </w:pPr>
    </w:p>
    <w:p w14:paraId="0FB96B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rPr>
      </w:pPr>
      <w:r>
        <w:rPr>
          <w:rFonts w:hint="eastAsia" w:ascii="仿宋" w:hAnsi="仿宋" w:eastAsia="仿宋" w:cs="Times New Roman"/>
          <w:b/>
          <w:bCs/>
          <w:sz w:val="32"/>
          <w:szCs w:val="32"/>
          <w:lang w:val="en-US" w:eastAsia="zh-CN"/>
        </w:rPr>
        <w:t>三牌楼校区综合科研楼双电源控制柜及华礼堂报警主机损坏故障维修更换换新项目</w:t>
      </w:r>
      <w:r>
        <w:rPr>
          <w:rFonts w:hint="eastAsia" w:ascii="仿宋" w:hAnsi="仿宋" w:eastAsia="仿宋" w:cs="Times New Roman"/>
          <w:b/>
          <w:bCs/>
          <w:sz w:val="32"/>
          <w:szCs w:val="32"/>
        </w:rPr>
        <w:t>询价响应报价</w:t>
      </w:r>
      <w:r>
        <w:rPr>
          <w:rFonts w:hint="eastAsia" w:ascii="仿宋" w:hAnsi="仿宋" w:eastAsia="仿宋" w:cs="Times New Roman"/>
          <w:b/>
          <w:bCs/>
          <w:sz w:val="32"/>
          <w:szCs w:val="32"/>
          <w:lang w:val="en-US" w:eastAsia="zh-CN"/>
        </w:rPr>
        <w:t>单</w:t>
      </w:r>
    </w:p>
    <w:tbl>
      <w:tblPr>
        <w:tblStyle w:val="3"/>
        <w:tblpPr w:leftFromText="180" w:rightFromText="180" w:vertAnchor="text" w:horzAnchor="page" w:tblpX="1787" w:tblpY="384"/>
        <w:tblOverlap w:val="never"/>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2440"/>
        <w:gridCol w:w="1309"/>
        <w:gridCol w:w="1007"/>
        <w:gridCol w:w="1578"/>
        <w:gridCol w:w="1723"/>
      </w:tblGrid>
      <w:tr w14:paraId="0CFEFE8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272" w:type="pct"/>
            <w:tcBorders>
              <w:tl2br w:val="nil"/>
              <w:tr2bl w:val="nil"/>
            </w:tcBorders>
            <w:shd w:val="pct10" w:color="auto" w:fill="FFFFFF"/>
            <w:vAlign w:val="center"/>
          </w:tcPr>
          <w:p w14:paraId="591E80A5">
            <w:pPr>
              <w:snapToGrid w:val="0"/>
              <w:spacing w:line="240" w:lineRule="atLeast"/>
              <w:jc w:val="center"/>
              <w:rPr>
                <w:rFonts w:hint="eastAsia" w:ascii="Arial" w:hAnsi="Arial" w:eastAsia="楷体_GB2312" w:cs="Times New Roman"/>
                <w:b/>
                <w:kern w:val="0"/>
                <w:sz w:val="24"/>
                <w:szCs w:val="24"/>
              </w:rPr>
            </w:pPr>
            <w:r>
              <w:rPr>
                <w:rFonts w:hint="eastAsia" w:ascii="Arial" w:hAnsi="Arial" w:eastAsia="楷体_GB2312" w:cs="Times New Roman"/>
                <w:b/>
                <w:kern w:val="0"/>
                <w:sz w:val="24"/>
                <w:szCs w:val="24"/>
              </w:rPr>
              <w:t>编号</w:t>
            </w:r>
          </w:p>
        </w:tc>
        <w:tc>
          <w:tcPr>
            <w:tcW w:w="1432" w:type="pct"/>
            <w:tcBorders>
              <w:tl2br w:val="nil"/>
              <w:tr2bl w:val="nil"/>
            </w:tcBorders>
            <w:shd w:val="pct10" w:color="auto" w:fill="FFFFFF"/>
            <w:vAlign w:val="center"/>
          </w:tcPr>
          <w:p w14:paraId="65406460">
            <w:pPr>
              <w:snapToGrid w:val="0"/>
              <w:spacing w:line="240" w:lineRule="atLeast"/>
              <w:jc w:val="center"/>
              <w:rPr>
                <w:rFonts w:hint="eastAsia" w:ascii="Arial" w:hAnsi="Arial" w:eastAsia="楷体_GB2312" w:cs="Times New Roman"/>
                <w:b/>
                <w:kern w:val="0"/>
                <w:sz w:val="24"/>
                <w:szCs w:val="24"/>
              </w:rPr>
            </w:pPr>
            <w:r>
              <w:rPr>
                <w:rFonts w:hint="eastAsia" w:ascii="Arial" w:hAnsi="Arial" w:eastAsia="楷体_GB2312" w:cs="Times New Roman"/>
                <w:b/>
                <w:kern w:val="0"/>
                <w:sz w:val="24"/>
                <w:szCs w:val="24"/>
                <w:lang w:val="en-US" w:eastAsia="zh-CN"/>
              </w:rPr>
              <w:t>项目</w:t>
            </w:r>
            <w:r>
              <w:rPr>
                <w:rFonts w:hint="eastAsia" w:ascii="Arial" w:hAnsi="Arial" w:eastAsia="楷体_GB2312" w:cs="Times New Roman"/>
                <w:b/>
                <w:kern w:val="0"/>
                <w:sz w:val="24"/>
                <w:szCs w:val="24"/>
              </w:rPr>
              <w:t>名称</w:t>
            </w:r>
          </w:p>
        </w:tc>
        <w:tc>
          <w:tcPr>
            <w:tcW w:w="768" w:type="pct"/>
            <w:tcBorders>
              <w:tl2br w:val="nil"/>
              <w:tr2bl w:val="nil"/>
            </w:tcBorders>
            <w:shd w:val="pct10" w:color="auto" w:fill="FFFFFF"/>
            <w:vAlign w:val="center"/>
          </w:tcPr>
          <w:p w14:paraId="40CA4C7B">
            <w:pPr>
              <w:snapToGrid w:val="0"/>
              <w:spacing w:line="240" w:lineRule="atLeast"/>
              <w:jc w:val="center"/>
              <w:rPr>
                <w:rFonts w:hint="eastAsia" w:ascii="Arial" w:hAnsi="Arial" w:eastAsia="楷体_GB2312" w:cs="Times New Roman"/>
                <w:b/>
                <w:kern w:val="0"/>
                <w:sz w:val="24"/>
                <w:szCs w:val="24"/>
              </w:rPr>
            </w:pPr>
            <w:r>
              <w:rPr>
                <w:rFonts w:hint="eastAsia" w:ascii="Arial" w:hAnsi="Arial" w:eastAsia="楷体_GB2312" w:cs="Times New Roman"/>
                <w:b/>
                <w:kern w:val="0"/>
                <w:sz w:val="24"/>
                <w:szCs w:val="24"/>
              </w:rPr>
              <w:t>规</w:t>
            </w:r>
            <w:r>
              <w:rPr>
                <w:rFonts w:ascii="Arial" w:hAnsi="Arial" w:eastAsia="楷体_GB2312" w:cs="Times New Roman"/>
                <w:b/>
                <w:kern w:val="0"/>
                <w:sz w:val="24"/>
                <w:szCs w:val="24"/>
              </w:rPr>
              <w:t xml:space="preserve"> </w:t>
            </w:r>
            <w:r>
              <w:rPr>
                <w:rFonts w:hint="eastAsia" w:ascii="Arial" w:hAnsi="Arial" w:eastAsia="楷体_GB2312" w:cs="Times New Roman"/>
                <w:b/>
                <w:kern w:val="0"/>
                <w:sz w:val="24"/>
                <w:szCs w:val="24"/>
              </w:rPr>
              <w:t>格</w:t>
            </w:r>
            <w:r>
              <w:rPr>
                <w:rFonts w:ascii="Arial" w:hAnsi="Arial" w:eastAsia="楷体_GB2312" w:cs="Times New Roman"/>
                <w:b/>
                <w:kern w:val="0"/>
                <w:sz w:val="24"/>
                <w:szCs w:val="24"/>
              </w:rPr>
              <w:t xml:space="preserve"> </w:t>
            </w:r>
            <w:r>
              <w:rPr>
                <w:rFonts w:hint="eastAsia" w:ascii="Arial" w:hAnsi="Arial" w:eastAsia="楷体_GB2312" w:cs="Times New Roman"/>
                <w:b/>
                <w:kern w:val="0"/>
                <w:sz w:val="24"/>
                <w:szCs w:val="24"/>
              </w:rPr>
              <w:t>型</w:t>
            </w:r>
            <w:r>
              <w:rPr>
                <w:rFonts w:ascii="Arial" w:hAnsi="Arial" w:eastAsia="楷体_GB2312" w:cs="Times New Roman"/>
                <w:b/>
                <w:kern w:val="0"/>
                <w:sz w:val="24"/>
                <w:szCs w:val="24"/>
              </w:rPr>
              <w:t xml:space="preserve"> </w:t>
            </w:r>
            <w:r>
              <w:rPr>
                <w:rFonts w:hint="eastAsia" w:ascii="Arial" w:hAnsi="Arial" w:eastAsia="楷体_GB2312" w:cs="Times New Roman"/>
                <w:b/>
                <w:kern w:val="0"/>
                <w:sz w:val="24"/>
                <w:szCs w:val="24"/>
              </w:rPr>
              <w:t>号（品牌）</w:t>
            </w:r>
          </w:p>
        </w:tc>
        <w:tc>
          <w:tcPr>
            <w:tcW w:w="591" w:type="pct"/>
            <w:tcBorders>
              <w:tl2br w:val="nil"/>
              <w:tr2bl w:val="nil"/>
            </w:tcBorders>
            <w:shd w:val="pct10" w:color="auto" w:fill="FFFFFF"/>
            <w:vAlign w:val="center"/>
          </w:tcPr>
          <w:p w14:paraId="7C53F8C0">
            <w:pPr>
              <w:snapToGrid w:val="0"/>
              <w:spacing w:line="240" w:lineRule="atLeast"/>
              <w:jc w:val="center"/>
              <w:rPr>
                <w:rFonts w:hint="eastAsia" w:ascii="Arial" w:hAnsi="Arial" w:eastAsia="楷体_GB2312" w:cs="Times New Roman"/>
                <w:b/>
                <w:kern w:val="0"/>
                <w:sz w:val="24"/>
                <w:szCs w:val="24"/>
              </w:rPr>
            </w:pPr>
            <w:r>
              <w:rPr>
                <w:rFonts w:hint="eastAsia" w:ascii="Arial" w:hAnsi="Arial" w:eastAsia="楷体_GB2312" w:cs="Times New Roman"/>
                <w:b/>
                <w:kern w:val="0"/>
                <w:sz w:val="24"/>
                <w:szCs w:val="24"/>
              </w:rPr>
              <w:t>数量</w:t>
            </w:r>
          </w:p>
        </w:tc>
        <w:tc>
          <w:tcPr>
            <w:tcW w:w="926" w:type="pct"/>
            <w:tcBorders>
              <w:tl2br w:val="nil"/>
              <w:tr2bl w:val="nil"/>
            </w:tcBorders>
            <w:shd w:val="pct10" w:color="auto" w:fill="FFFFFF"/>
            <w:vAlign w:val="center"/>
          </w:tcPr>
          <w:p w14:paraId="089745C6">
            <w:pPr>
              <w:snapToGrid w:val="0"/>
              <w:spacing w:line="240" w:lineRule="atLeast"/>
              <w:jc w:val="center"/>
              <w:rPr>
                <w:rFonts w:hint="eastAsia" w:ascii="Arial" w:hAnsi="Arial" w:eastAsia="楷体_GB2312" w:cs="Times New Roman"/>
                <w:b/>
                <w:kern w:val="0"/>
                <w:sz w:val="24"/>
                <w:szCs w:val="24"/>
              </w:rPr>
            </w:pPr>
            <w:r>
              <w:rPr>
                <w:rFonts w:hint="eastAsia" w:ascii="Arial" w:hAnsi="Arial" w:eastAsia="楷体_GB2312" w:cs="Times New Roman"/>
                <w:b/>
                <w:kern w:val="0"/>
                <w:sz w:val="24"/>
                <w:szCs w:val="24"/>
              </w:rPr>
              <w:t xml:space="preserve">  单价（元）</w:t>
            </w:r>
          </w:p>
        </w:tc>
        <w:tc>
          <w:tcPr>
            <w:tcW w:w="1010" w:type="pct"/>
            <w:tcBorders>
              <w:tl2br w:val="nil"/>
              <w:tr2bl w:val="nil"/>
            </w:tcBorders>
            <w:shd w:val="pct10" w:color="auto" w:fill="FFFFFF"/>
            <w:vAlign w:val="center"/>
          </w:tcPr>
          <w:p w14:paraId="2CD2360A">
            <w:pPr>
              <w:widowControl/>
              <w:jc w:val="left"/>
              <w:rPr>
                <w:rFonts w:hint="eastAsia" w:ascii="Arial" w:hAnsi="Arial" w:eastAsia="楷体_GB2312" w:cs="Times New Roman"/>
                <w:b/>
                <w:kern w:val="0"/>
                <w:sz w:val="24"/>
                <w:szCs w:val="24"/>
                <w:lang w:val="en-US" w:eastAsia="zh-CN"/>
              </w:rPr>
            </w:pPr>
            <w:r>
              <w:rPr>
                <w:rFonts w:hint="eastAsia" w:ascii="Arial" w:hAnsi="Arial" w:eastAsia="楷体_GB2312" w:cs="Times New Roman"/>
                <w:b/>
                <w:kern w:val="0"/>
                <w:sz w:val="24"/>
                <w:szCs w:val="24"/>
              </w:rPr>
              <w:t xml:space="preserve"> 总价（元）</w:t>
            </w:r>
          </w:p>
        </w:tc>
      </w:tr>
      <w:tr w14:paraId="13EBFE8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72" w:type="pct"/>
            <w:tcBorders>
              <w:tl2br w:val="nil"/>
              <w:tr2bl w:val="nil"/>
            </w:tcBorders>
            <w:vAlign w:val="center"/>
          </w:tcPr>
          <w:p w14:paraId="3628BA4F">
            <w:pPr>
              <w:rPr>
                <w:rFonts w:hint="eastAsia"/>
              </w:rPr>
            </w:pPr>
            <w:r>
              <w:rPr>
                <w:rFonts w:hint="eastAsia"/>
              </w:rPr>
              <w:t>1</w:t>
            </w:r>
          </w:p>
        </w:tc>
        <w:tc>
          <w:tcPr>
            <w:tcW w:w="1432" w:type="pct"/>
            <w:tcBorders>
              <w:tl2br w:val="nil"/>
              <w:tr2bl w:val="nil"/>
            </w:tcBorders>
            <w:vAlign w:val="center"/>
          </w:tcPr>
          <w:p w14:paraId="4ADF98AE">
            <w:pPr>
              <w:rPr>
                <w:rFonts w:hint="eastAsia"/>
                <w:lang w:val="en-US" w:eastAsia="zh-CN"/>
              </w:rPr>
            </w:pPr>
            <w:r>
              <w:rPr>
                <w:rFonts w:hint="eastAsia"/>
                <w:lang w:val="en-US" w:eastAsia="zh-CN"/>
              </w:rPr>
              <w:t>稳压泵双电源控制柜</w:t>
            </w:r>
          </w:p>
          <w:p w14:paraId="60B751B7">
            <w:pPr>
              <w:rPr>
                <w:rFonts w:hint="eastAsia"/>
                <w:lang w:val="en-US" w:eastAsia="zh-CN"/>
              </w:rPr>
            </w:pPr>
            <w:r>
              <w:rPr>
                <w:rFonts w:hint="eastAsia"/>
                <w:lang w:val="en-US" w:eastAsia="zh-CN"/>
              </w:rPr>
              <w:t>（损坏换新）</w:t>
            </w:r>
          </w:p>
        </w:tc>
        <w:tc>
          <w:tcPr>
            <w:tcW w:w="768" w:type="pct"/>
            <w:tcBorders>
              <w:tl2br w:val="nil"/>
              <w:tr2bl w:val="nil"/>
            </w:tcBorders>
            <w:vAlign w:val="center"/>
          </w:tcPr>
          <w:p w14:paraId="084E19EF">
            <w:pPr>
              <w:rPr>
                <w:rFonts w:hint="eastAsia" w:eastAsiaTheme="minorEastAsia"/>
                <w:lang w:val="en-US" w:eastAsia="zh-CN"/>
              </w:rPr>
            </w:pPr>
            <w:r>
              <w:rPr>
                <w:rFonts w:hint="eastAsia" w:ascii="Times New Roman" w:hAnsi="Times New Roman" w:eastAsia="宋体" w:cs="仿宋"/>
                <w:b w:val="0"/>
                <w:color w:val="333333"/>
                <w:kern w:val="0"/>
                <w:sz w:val="24"/>
                <w:szCs w:val="24"/>
                <w:lang w:val="en-US" w:eastAsia="zh-CN" w:bidi="ar"/>
              </w:rPr>
              <w:t>如施耐德、正泰、西门子等</w:t>
            </w:r>
          </w:p>
        </w:tc>
        <w:tc>
          <w:tcPr>
            <w:tcW w:w="591" w:type="pct"/>
            <w:tcBorders>
              <w:tl2br w:val="nil"/>
              <w:tr2bl w:val="nil"/>
            </w:tcBorders>
            <w:shd w:val="clear" w:color="auto" w:fill="auto"/>
            <w:vAlign w:val="center"/>
          </w:tcPr>
          <w:p w14:paraId="76C448DE">
            <w:pPr>
              <w:rPr>
                <w:rFonts w:hint="default"/>
                <w:lang w:val="en-US" w:eastAsia="zh-CN"/>
              </w:rPr>
            </w:pPr>
            <w:r>
              <w:rPr>
                <w:rFonts w:hint="eastAsia"/>
                <w:lang w:val="en-US" w:eastAsia="zh-CN"/>
              </w:rPr>
              <w:t>1台</w:t>
            </w:r>
          </w:p>
        </w:tc>
        <w:tc>
          <w:tcPr>
            <w:tcW w:w="926" w:type="pct"/>
            <w:tcBorders>
              <w:tl2br w:val="nil"/>
              <w:tr2bl w:val="nil"/>
            </w:tcBorders>
            <w:shd w:val="clear" w:color="auto" w:fill="auto"/>
            <w:vAlign w:val="center"/>
          </w:tcPr>
          <w:p w14:paraId="6085EB6E">
            <w:pPr>
              <w:rPr>
                <w:rFonts w:hint="default"/>
                <w:lang w:val="en-US" w:eastAsia="zh-CN"/>
              </w:rPr>
            </w:pPr>
          </w:p>
        </w:tc>
        <w:tc>
          <w:tcPr>
            <w:tcW w:w="1010" w:type="pct"/>
            <w:tcBorders>
              <w:tl2br w:val="nil"/>
              <w:tr2bl w:val="nil"/>
            </w:tcBorders>
            <w:shd w:val="clear" w:color="auto" w:fill="auto"/>
            <w:vAlign w:val="center"/>
          </w:tcPr>
          <w:p w14:paraId="433EF44F">
            <w:pPr>
              <w:rPr>
                <w:rFonts w:hint="default"/>
                <w:lang w:val="en-US" w:eastAsia="zh-CN"/>
              </w:rPr>
            </w:pPr>
          </w:p>
        </w:tc>
      </w:tr>
      <w:tr w14:paraId="563DAEA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72" w:type="pct"/>
            <w:tcBorders>
              <w:tl2br w:val="nil"/>
              <w:tr2bl w:val="nil"/>
            </w:tcBorders>
            <w:vAlign w:val="center"/>
          </w:tcPr>
          <w:p w14:paraId="534B19E8">
            <w:pPr>
              <w:rPr>
                <w:rFonts w:hint="eastAsia"/>
                <w:lang w:val="en-US" w:eastAsia="zh-CN"/>
              </w:rPr>
            </w:pPr>
            <w:r>
              <w:rPr>
                <w:rFonts w:hint="eastAsia"/>
                <w:lang w:val="en-US" w:eastAsia="zh-CN"/>
              </w:rPr>
              <w:t>2</w:t>
            </w:r>
          </w:p>
        </w:tc>
        <w:tc>
          <w:tcPr>
            <w:tcW w:w="1432" w:type="pct"/>
            <w:tcBorders>
              <w:tl2br w:val="nil"/>
              <w:tr2bl w:val="nil"/>
            </w:tcBorders>
            <w:vAlign w:val="center"/>
          </w:tcPr>
          <w:p w14:paraId="09AA8C9F">
            <w:pPr>
              <w:rPr>
                <w:rFonts w:hint="eastAsia"/>
                <w:lang w:val="en-US" w:eastAsia="zh-CN"/>
              </w:rPr>
            </w:pPr>
            <w:r>
              <w:rPr>
                <w:rFonts w:hint="eastAsia"/>
                <w:lang w:val="en-US" w:eastAsia="zh-CN"/>
              </w:rPr>
              <w:t>风机综合控制柜（含双电源）（损坏换新）</w:t>
            </w:r>
          </w:p>
        </w:tc>
        <w:tc>
          <w:tcPr>
            <w:tcW w:w="768" w:type="pct"/>
            <w:tcBorders>
              <w:tl2br w:val="nil"/>
              <w:tr2bl w:val="nil"/>
            </w:tcBorders>
            <w:vAlign w:val="center"/>
          </w:tcPr>
          <w:p w14:paraId="73A7D779">
            <w:pPr>
              <w:rPr>
                <w:rFonts w:hint="eastAsia"/>
              </w:rPr>
            </w:pPr>
            <w:r>
              <w:rPr>
                <w:rFonts w:hint="eastAsia" w:ascii="Times New Roman" w:hAnsi="Times New Roman" w:eastAsia="宋体" w:cs="仿宋"/>
                <w:b w:val="0"/>
                <w:color w:val="333333"/>
                <w:kern w:val="0"/>
                <w:sz w:val="24"/>
                <w:szCs w:val="24"/>
                <w:lang w:val="en-US" w:eastAsia="zh-CN" w:bidi="ar"/>
              </w:rPr>
              <w:t>如施耐德、正泰、西门子等</w:t>
            </w:r>
          </w:p>
        </w:tc>
        <w:tc>
          <w:tcPr>
            <w:tcW w:w="591" w:type="pct"/>
            <w:tcBorders>
              <w:tl2br w:val="nil"/>
              <w:tr2bl w:val="nil"/>
            </w:tcBorders>
            <w:shd w:val="clear" w:color="auto" w:fill="auto"/>
            <w:vAlign w:val="center"/>
          </w:tcPr>
          <w:p w14:paraId="2BE19BE5">
            <w:pPr>
              <w:rPr>
                <w:rFonts w:hint="default"/>
                <w:lang w:val="en-US" w:eastAsia="zh-CN"/>
              </w:rPr>
            </w:pPr>
            <w:r>
              <w:rPr>
                <w:rFonts w:hint="eastAsia"/>
                <w:lang w:val="en-US" w:eastAsia="zh-CN"/>
              </w:rPr>
              <w:t>2台</w:t>
            </w:r>
          </w:p>
        </w:tc>
        <w:tc>
          <w:tcPr>
            <w:tcW w:w="926" w:type="pct"/>
            <w:tcBorders>
              <w:tl2br w:val="nil"/>
              <w:tr2bl w:val="nil"/>
            </w:tcBorders>
            <w:shd w:val="clear" w:color="auto" w:fill="auto"/>
            <w:vAlign w:val="center"/>
          </w:tcPr>
          <w:p w14:paraId="4891BEF1">
            <w:pPr>
              <w:rPr>
                <w:rFonts w:hint="default"/>
                <w:lang w:val="en-US" w:eastAsia="zh-CN"/>
              </w:rPr>
            </w:pPr>
          </w:p>
        </w:tc>
        <w:tc>
          <w:tcPr>
            <w:tcW w:w="1010" w:type="pct"/>
            <w:tcBorders>
              <w:tl2br w:val="nil"/>
              <w:tr2bl w:val="nil"/>
            </w:tcBorders>
            <w:shd w:val="clear" w:color="auto" w:fill="auto"/>
            <w:vAlign w:val="center"/>
          </w:tcPr>
          <w:p w14:paraId="16A183D1">
            <w:pPr>
              <w:rPr>
                <w:rFonts w:hint="default"/>
                <w:lang w:val="en-US" w:eastAsia="zh-CN"/>
              </w:rPr>
            </w:pPr>
          </w:p>
        </w:tc>
      </w:tr>
      <w:tr w14:paraId="395BA6B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72" w:type="pct"/>
            <w:tcBorders>
              <w:tl2br w:val="nil"/>
              <w:tr2bl w:val="nil"/>
            </w:tcBorders>
            <w:vAlign w:val="center"/>
          </w:tcPr>
          <w:p w14:paraId="377C9EB5">
            <w:pPr>
              <w:rPr>
                <w:rFonts w:hint="eastAsia"/>
                <w:lang w:val="en-US" w:eastAsia="zh-CN"/>
              </w:rPr>
            </w:pPr>
            <w:r>
              <w:rPr>
                <w:rFonts w:hint="eastAsia"/>
                <w:lang w:val="en-US" w:eastAsia="zh-CN"/>
              </w:rPr>
              <w:t>3</w:t>
            </w:r>
          </w:p>
        </w:tc>
        <w:tc>
          <w:tcPr>
            <w:tcW w:w="1432" w:type="pct"/>
            <w:tcBorders>
              <w:tl2br w:val="nil"/>
              <w:tr2bl w:val="nil"/>
            </w:tcBorders>
            <w:vAlign w:val="center"/>
          </w:tcPr>
          <w:p w14:paraId="1EC938D4">
            <w:pPr>
              <w:rPr>
                <w:rFonts w:hint="eastAsia"/>
                <w:lang w:val="en-US" w:eastAsia="zh-CN"/>
              </w:rPr>
            </w:pPr>
            <w:r>
              <w:rPr>
                <w:rFonts w:hint="eastAsia"/>
                <w:lang w:val="en-US" w:eastAsia="zh-CN"/>
              </w:rPr>
              <w:t>华礼堂消防主机及设备维修（损坏换新）</w:t>
            </w:r>
          </w:p>
        </w:tc>
        <w:tc>
          <w:tcPr>
            <w:tcW w:w="768" w:type="pct"/>
            <w:tcBorders>
              <w:tl2br w:val="nil"/>
              <w:tr2bl w:val="nil"/>
            </w:tcBorders>
            <w:vAlign w:val="center"/>
          </w:tcPr>
          <w:p w14:paraId="06AF5810">
            <w:pPr>
              <w:rPr>
                <w:rFonts w:hint="eastAsia"/>
              </w:rPr>
            </w:pPr>
          </w:p>
        </w:tc>
        <w:tc>
          <w:tcPr>
            <w:tcW w:w="591" w:type="pct"/>
            <w:tcBorders>
              <w:tl2br w:val="nil"/>
              <w:tr2bl w:val="nil"/>
            </w:tcBorders>
            <w:shd w:val="clear" w:color="auto" w:fill="auto"/>
            <w:vAlign w:val="center"/>
          </w:tcPr>
          <w:p w14:paraId="5587CA11">
            <w:pPr>
              <w:rPr>
                <w:rFonts w:hint="default"/>
                <w:lang w:val="en-US" w:eastAsia="zh-CN"/>
              </w:rPr>
            </w:pPr>
            <w:r>
              <w:rPr>
                <w:rFonts w:hint="eastAsia"/>
                <w:lang w:val="en-US" w:eastAsia="zh-CN"/>
              </w:rPr>
              <w:t>1台</w:t>
            </w:r>
          </w:p>
        </w:tc>
        <w:tc>
          <w:tcPr>
            <w:tcW w:w="926" w:type="pct"/>
            <w:tcBorders>
              <w:tl2br w:val="nil"/>
              <w:tr2bl w:val="nil"/>
            </w:tcBorders>
            <w:shd w:val="clear" w:color="auto" w:fill="auto"/>
            <w:vAlign w:val="center"/>
          </w:tcPr>
          <w:p w14:paraId="2B45FC97">
            <w:pPr>
              <w:rPr>
                <w:rFonts w:hint="default"/>
                <w:lang w:val="en-US" w:eastAsia="zh-CN"/>
              </w:rPr>
            </w:pPr>
          </w:p>
        </w:tc>
        <w:tc>
          <w:tcPr>
            <w:tcW w:w="1010" w:type="pct"/>
            <w:tcBorders>
              <w:tl2br w:val="nil"/>
              <w:tr2bl w:val="nil"/>
            </w:tcBorders>
            <w:shd w:val="clear" w:color="auto" w:fill="auto"/>
            <w:vAlign w:val="center"/>
          </w:tcPr>
          <w:p w14:paraId="180ECCA9">
            <w:pPr>
              <w:rPr>
                <w:rFonts w:hint="default"/>
                <w:lang w:val="en-US" w:eastAsia="zh-CN"/>
              </w:rPr>
            </w:pPr>
          </w:p>
        </w:tc>
      </w:tr>
      <w:tr w14:paraId="708275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5000" w:type="pct"/>
            <w:gridSpan w:val="6"/>
            <w:tcBorders>
              <w:tl2br w:val="nil"/>
              <w:tr2bl w:val="nil"/>
            </w:tcBorders>
            <w:vAlign w:val="center"/>
          </w:tcPr>
          <w:p w14:paraId="10699AF0">
            <w:pPr>
              <w:rPr>
                <w:rFonts w:hint="eastAsia"/>
                <w:b/>
                <w:lang w:val="en-US" w:eastAsia="zh-CN"/>
              </w:rPr>
            </w:pPr>
            <w:r>
              <w:rPr>
                <w:rFonts w:hint="eastAsia"/>
                <w:b/>
                <w:lang w:val="en-US" w:eastAsia="zh-CN"/>
              </w:rPr>
              <w:t>备注：</w:t>
            </w:r>
          </w:p>
          <w:p w14:paraId="3A1653AE">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sz w:val="21"/>
                <w:lang w:eastAsia="zh-CN"/>
              </w:rPr>
            </w:pPr>
            <w:r>
              <w:rPr>
                <w:rFonts w:hint="eastAsia" w:ascii="Times New Roman" w:hAnsi="Times New Roman"/>
                <w:sz w:val="21"/>
                <w:lang w:val="en-US" w:eastAsia="zh-CN"/>
              </w:rPr>
              <w:t>①</w:t>
            </w:r>
            <w:r>
              <w:rPr>
                <w:rFonts w:hint="eastAsia" w:ascii="Times New Roman" w:hAnsi="Times New Roman"/>
                <w:sz w:val="21"/>
              </w:rPr>
              <w:t>所有报价均用人民币表示</w:t>
            </w:r>
            <w:r>
              <w:rPr>
                <w:rFonts w:hint="eastAsia" w:ascii="Times New Roman" w:hAnsi="Times New Roman"/>
                <w:sz w:val="21"/>
                <w:lang w:eastAsia="zh-CN"/>
              </w:rPr>
              <w:t>，</w:t>
            </w:r>
            <w:r>
              <w:rPr>
                <w:rFonts w:hint="eastAsia" w:ascii="Times New Roman" w:hAnsi="Times New Roman"/>
                <w:sz w:val="21"/>
              </w:rPr>
              <w:t>其总价</w:t>
            </w:r>
            <w:r>
              <w:rPr>
                <w:rFonts w:hint="eastAsia" w:ascii="Times New Roman" w:hAnsi="Times New Roman"/>
                <w:sz w:val="21"/>
                <w:lang w:eastAsia="zh-CN"/>
              </w:rPr>
              <w:t>（</w:t>
            </w:r>
            <w:r>
              <w:rPr>
                <w:rFonts w:hint="eastAsia" w:ascii="Times New Roman" w:hAnsi="Times New Roman"/>
                <w:sz w:val="21"/>
                <w:lang w:val="en-US" w:eastAsia="zh-CN"/>
              </w:rPr>
              <w:t>合计</w:t>
            </w:r>
            <w:r>
              <w:rPr>
                <w:rFonts w:hint="eastAsia" w:ascii="Times New Roman" w:hAnsi="Times New Roman"/>
                <w:sz w:val="21"/>
                <w:lang w:eastAsia="zh-CN"/>
              </w:rPr>
              <w:t>）</w:t>
            </w:r>
            <w:r>
              <w:rPr>
                <w:rFonts w:hint="eastAsia" w:ascii="Times New Roman" w:hAnsi="Times New Roman"/>
                <w:sz w:val="21"/>
              </w:rPr>
              <w:t>即为履行</w:t>
            </w:r>
            <w:r>
              <w:rPr>
                <w:rFonts w:hint="eastAsia" w:ascii="Times New Roman" w:hAnsi="Times New Roman"/>
                <w:sz w:val="21"/>
                <w:lang w:val="en-US" w:eastAsia="zh-CN"/>
              </w:rPr>
              <w:t>项目</w:t>
            </w:r>
            <w:r>
              <w:rPr>
                <w:rFonts w:hint="eastAsia" w:ascii="Times New Roman" w:hAnsi="Times New Roman"/>
                <w:sz w:val="21"/>
              </w:rPr>
              <w:t>的固定价格，包括</w:t>
            </w:r>
            <w:r>
              <w:rPr>
                <w:rFonts w:hint="eastAsia" w:ascii="Times New Roman" w:hAnsi="Times New Roman"/>
                <w:sz w:val="21"/>
                <w:lang w:val="en-US" w:eastAsia="zh-CN"/>
              </w:rPr>
              <w:t>材料及辅材、</w:t>
            </w:r>
            <w:r>
              <w:rPr>
                <w:rFonts w:hint="eastAsia" w:ascii="Times New Roman" w:hAnsi="Times New Roman"/>
                <w:sz w:val="21"/>
              </w:rPr>
              <w:t>运输、安装、</w:t>
            </w:r>
            <w:r>
              <w:rPr>
                <w:rFonts w:hint="eastAsia" w:ascii="Times New Roman" w:hAnsi="Times New Roman"/>
                <w:sz w:val="21"/>
                <w:lang w:val="en-US" w:eastAsia="zh-CN"/>
              </w:rPr>
              <w:t>拆除</w:t>
            </w:r>
            <w:r>
              <w:rPr>
                <w:rFonts w:hint="eastAsia" w:ascii="Times New Roman" w:hAnsi="Times New Roman"/>
                <w:sz w:val="21"/>
              </w:rPr>
              <w:t>、税金等一切费用。报价为一次报出不再更改的价格</w:t>
            </w:r>
            <w:r>
              <w:rPr>
                <w:rFonts w:hint="eastAsia" w:ascii="Times New Roman" w:hAnsi="Times New Roman"/>
                <w:sz w:val="21"/>
                <w:lang w:eastAsia="zh-CN"/>
              </w:rPr>
              <w:t>；</w:t>
            </w:r>
          </w:p>
          <w:p w14:paraId="7E229D60">
            <w:pPr>
              <w:rPr>
                <w:rFonts w:hint="eastAsia" w:asciiTheme="minorEastAsia" w:hAnsiTheme="minorEastAsia" w:eastAsiaTheme="minorEastAsia" w:cstheme="minorEastAsia"/>
                <w:b w:val="0"/>
                <w:bCs w:val="0"/>
                <w:sz w:val="21"/>
                <w:szCs w:val="21"/>
                <w:lang w:val="en-US" w:eastAsia="zh-CN"/>
              </w:rPr>
            </w:pPr>
            <w:r>
              <w:rPr>
                <w:rFonts w:hint="eastAsia" w:ascii="Times New Roman" w:hAnsi="Times New Roman"/>
                <w:sz w:val="21"/>
                <w:lang w:val="en-US" w:eastAsia="zh-CN"/>
              </w:rPr>
              <w:t>②供应商根据项目实际需求以及项目难易程度综合考量进行综合报价；</w:t>
            </w:r>
          </w:p>
        </w:tc>
      </w:tr>
      <w:tr w14:paraId="56FEB2B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5000" w:type="pct"/>
            <w:gridSpan w:val="6"/>
            <w:tcBorders>
              <w:tl2br w:val="nil"/>
              <w:tr2bl w:val="nil"/>
            </w:tcBorders>
            <w:vAlign w:val="center"/>
          </w:tcPr>
          <w:p w14:paraId="76229247">
            <w:pPr>
              <w:rPr>
                <w:rFonts w:hint="eastAsia" w:asciiTheme="minorEastAsia" w:hAnsiTheme="minorEastAsia" w:eastAsiaTheme="minorEastAsia" w:cstheme="minorEastAsia"/>
                <w:b w:val="0"/>
                <w:bCs w:val="0"/>
                <w:sz w:val="21"/>
                <w:szCs w:val="21"/>
              </w:rPr>
            </w:pPr>
            <w:r>
              <w:rPr>
                <w:rFonts w:hint="eastAsia" w:asciiTheme="minorEastAsia" w:hAnsiTheme="minorEastAsia" w:cstheme="minorEastAsia"/>
                <w:b/>
                <w:bCs/>
                <w:sz w:val="21"/>
                <w:szCs w:val="21"/>
                <w:lang w:val="en-US" w:eastAsia="zh-CN"/>
              </w:rPr>
              <w:t>合计</w:t>
            </w:r>
            <w:r>
              <w:rPr>
                <w:rFonts w:hint="eastAsia" w:asciiTheme="minorEastAsia" w:hAnsiTheme="minorEastAsia" w:eastAsiaTheme="minorEastAsia" w:cstheme="minorEastAsia"/>
                <w:b/>
                <w:bCs/>
                <w:sz w:val="21"/>
                <w:szCs w:val="21"/>
              </w:rPr>
              <w:t xml:space="preserve">（人民币大写）：  </w:t>
            </w:r>
            <w:r>
              <w:rPr>
                <w:rFonts w:hint="eastAsia" w:asciiTheme="minorEastAsia" w:hAnsiTheme="minorEastAsia" w:cstheme="minorEastAsia"/>
                <w:b/>
                <w:bCs/>
                <w:sz w:val="21"/>
                <w:szCs w:val="21"/>
                <w:lang w:val="en-US" w:eastAsia="zh-CN"/>
              </w:rPr>
              <w:t>合计</w:t>
            </w:r>
            <w:r>
              <w:rPr>
                <w:rFonts w:hint="eastAsia" w:asciiTheme="minorEastAsia" w:hAnsiTheme="minorEastAsia" w:eastAsiaTheme="minorEastAsia" w:cstheme="minorEastAsia"/>
                <w:b/>
                <w:bCs/>
                <w:sz w:val="21"/>
                <w:szCs w:val="21"/>
              </w:rPr>
              <w:t>（人民币小写）：</w:t>
            </w:r>
            <w:r>
              <w:rPr>
                <w:rFonts w:hint="eastAsia" w:asciiTheme="minorEastAsia" w:hAnsi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元</w:t>
            </w:r>
          </w:p>
        </w:tc>
      </w:tr>
    </w:tbl>
    <w:p w14:paraId="306C2C08">
      <w:pPr>
        <w:rPr>
          <w:rFonts w:hint="eastAsia"/>
          <w:sz w:val="28"/>
          <w:szCs w:val="28"/>
          <w:lang w:val="en-US" w:eastAsia="zh-CN"/>
        </w:rPr>
      </w:pPr>
    </w:p>
    <w:p w14:paraId="47F373B1">
      <w:pPr>
        <w:ind w:firstLine="1120" w:firstLineChars="400"/>
        <w:rPr>
          <w:rFonts w:hint="eastAsia"/>
          <w:sz w:val="28"/>
          <w:szCs w:val="28"/>
          <w:u w:val="single"/>
        </w:rPr>
      </w:pPr>
      <w:r>
        <w:rPr>
          <w:rFonts w:hint="eastAsia"/>
          <w:sz w:val="28"/>
          <w:szCs w:val="28"/>
          <w:lang w:val="en-US" w:eastAsia="zh-CN"/>
        </w:rPr>
        <w:t>单位名称（盖章）：</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33EB063B">
      <w:pPr>
        <w:ind w:firstLine="1120" w:firstLineChars="400"/>
        <w:rPr>
          <w:rFonts w:hint="default" w:eastAsiaTheme="minorEastAsia"/>
          <w:u w:val="single"/>
          <w:lang w:val="en-US" w:eastAsia="zh-CN"/>
        </w:rPr>
      </w:pPr>
      <w:r>
        <w:rPr>
          <w:rFonts w:hint="eastAsia"/>
          <w:sz w:val="28"/>
          <w:szCs w:val="28"/>
          <w:lang w:val="en-US" w:eastAsia="zh-CN"/>
        </w:rPr>
        <w:t>日           期：</w:t>
      </w:r>
      <w:r>
        <w:rPr>
          <w:rFonts w:hint="eastAsia"/>
          <w:sz w:val="28"/>
          <w:szCs w:val="28"/>
          <w:u w:val="single"/>
          <w:lang w:val="en-US" w:eastAsia="zh-CN"/>
        </w:rPr>
        <w:t xml:space="preserve"> </w:t>
      </w:r>
      <w:r>
        <w:rPr>
          <w:rFonts w:hint="eastAsia"/>
          <w:u w:val="single"/>
          <w:lang w:val="en-US" w:eastAsia="zh-CN"/>
        </w:rPr>
        <w:t xml:space="preserve">                                            </w:t>
      </w:r>
    </w:p>
    <w:p w14:paraId="5BEB63DE">
      <w:pPr>
        <w:rPr>
          <w:rFonts w:hint="default"/>
          <w:b/>
          <w:bCs/>
          <w:sz w:val="24"/>
          <w:szCs w:val="24"/>
          <w:u w:val="none"/>
          <w:lang w:val="en-US" w:eastAsia="zh-CN"/>
        </w:rPr>
      </w:pPr>
    </w:p>
    <w:p w14:paraId="0DA751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p>
    <w:p w14:paraId="570AC7DA">
      <w:pPr>
        <w:bidi w:val="0"/>
        <w:rPr>
          <w:rFonts w:hint="eastAsia"/>
        </w:rPr>
      </w:pPr>
    </w:p>
    <w:p w14:paraId="589B98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SW/44IXa1bD+iAycPFN0KenzRvg=" w:salt="UVc+vXut9lI4O8FdMdv0/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6D1F"/>
    <w:rsid w:val="02F54FC6"/>
    <w:rsid w:val="030B2A3C"/>
    <w:rsid w:val="039E565E"/>
    <w:rsid w:val="03D64DF8"/>
    <w:rsid w:val="042F62B6"/>
    <w:rsid w:val="05EC445F"/>
    <w:rsid w:val="069F3BC7"/>
    <w:rsid w:val="07D57174"/>
    <w:rsid w:val="08055CAB"/>
    <w:rsid w:val="08585DDB"/>
    <w:rsid w:val="08C711B3"/>
    <w:rsid w:val="09061CDB"/>
    <w:rsid w:val="090715AF"/>
    <w:rsid w:val="09AF2373"/>
    <w:rsid w:val="09ED2E9B"/>
    <w:rsid w:val="0A375EC4"/>
    <w:rsid w:val="0A740EC6"/>
    <w:rsid w:val="0A8729A8"/>
    <w:rsid w:val="0BDA11FD"/>
    <w:rsid w:val="0C112E71"/>
    <w:rsid w:val="0C3B6140"/>
    <w:rsid w:val="0C564D28"/>
    <w:rsid w:val="0CA041F5"/>
    <w:rsid w:val="0D58062B"/>
    <w:rsid w:val="0E344BF5"/>
    <w:rsid w:val="0E3E3CC5"/>
    <w:rsid w:val="0E686F94"/>
    <w:rsid w:val="0ED91C40"/>
    <w:rsid w:val="0F29227F"/>
    <w:rsid w:val="0F5F5CA1"/>
    <w:rsid w:val="0F9242C9"/>
    <w:rsid w:val="0F957915"/>
    <w:rsid w:val="10022AD1"/>
    <w:rsid w:val="11301FEB"/>
    <w:rsid w:val="116F4196"/>
    <w:rsid w:val="11C72224"/>
    <w:rsid w:val="126B2BAF"/>
    <w:rsid w:val="130C4392"/>
    <w:rsid w:val="14795A57"/>
    <w:rsid w:val="14885C9A"/>
    <w:rsid w:val="148B578A"/>
    <w:rsid w:val="150712B5"/>
    <w:rsid w:val="15A07014"/>
    <w:rsid w:val="16113A6D"/>
    <w:rsid w:val="162E2871"/>
    <w:rsid w:val="163C4F8E"/>
    <w:rsid w:val="167F30CD"/>
    <w:rsid w:val="16B25250"/>
    <w:rsid w:val="16E573D4"/>
    <w:rsid w:val="16EA2C3C"/>
    <w:rsid w:val="181B0BD3"/>
    <w:rsid w:val="18956BD8"/>
    <w:rsid w:val="18B54B84"/>
    <w:rsid w:val="193E101D"/>
    <w:rsid w:val="19793E03"/>
    <w:rsid w:val="19E73463"/>
    <w:rsid w:val="1A22449B"/>
    <w:rsid w:val="1AA66E7A"/>
    <w:rsid w:val="1AE654C9"/>
    <w:rsid w:val="1AF5570C"/>
    <w:rsid w:val="1B7E3953"/>
    <w:rsid w:val="1BF105C9"/>
    <w:rsid w:val="1C6A3ED7"/>
    <w:rsid w:val="1CA23671"/>
    <w:rsid w:val="1CBF2475"/>
    <w:rsid w:val="1CC7757C"/>
    <w:rsid w:val="1D187DD7"/>
    <w:rsid w:val="1D6372A4"/>
    <w:rsid w:val="1D7414B2"/>
    <w:rsid w:val="1E676920"/>
    <w:rsid w:val="1E892D3B"/>
    <w:rsid w:val="1E8E0351"/>
    <w:rsid w:val="1EC65D3D"/>
    <w:rsid w:val="1F0C571A"/>
    <w:rsid w:val="1F1F544D"/>
    <w:rsid w:val="1F2C36C6"/>
    <w:rsid w:val="1FB57B5F"/>
    <w:rsid w:val="1FC3227C"/>
    <w:rsid w:val="1FC85AE5"/>
    <w:rsid w:val="1FFC1515"/>
    <w:rsid w:val="1FFC753C"/>
    <w:rsid w:val="208E4638"/>
    <w:rsid w:val="20D81D57"/>
    <w:rsid w:val="213D1BBA"/>
    <w:rsid w:val="218617B3"/>
    <w:rsid w:val="21A8797C"/>
    <w:rsid w:val="220F79FB"/>
    <w:rsid w:val="22CC769A"/>
    <w:rsid w:val="23A45F21"/>
    <w:rsid w:val="23C6058D"/>
    <w:rsid w:val="2503311B"/>
    <w:rsid w:val="25227A45"/>
    <w:rsid w:val="2584425C"/>
    <w:rsid w:val="265A320F"/>
    <w:rsid w:val="2681079B"/>
    <w:rsid w:val="27247AA4"/>
    <w:rsid w:val="278E2C4A"/>
    <w:rsid w:val="27F440E8"/>
    <w:rsid w:val="28416434"/>
    <w:rsid w:val="28836A4D"/>
    <w:rsid w:val="2886653D"/>
    <w:rsid w:val="291D29FD"/>
    <w:rsid w:val="29622B06"/>
    <w:rsid w:val="2A9860B3"/>
    <w:rsid w:val="2BAA2542"/>
    <w:rsid w:val="2BB331A5"/>
    <w:rsid w:val="2C1D0F66"/>
    <w:rsid w:val="2C8E6106"/>
    <w:rsid w:val="2CCA2E9C"/>
    <w:rsid w:val="2D320A41"/>
    <w:rsid w:val="2D9D410D"/>
    <w:rsid w:val="2DFD104F"/>
    <w:rsid w:val="2E5073D1"/>
    <w:rsid w:val="2EAD65D1"/>
    <w:rsid w:val="2FB120F1"/>
    <w:rsid w:val="2FBB4D1E"/>
    <w:rsid w:val="2FDD4C94"/>
    <w:rsid w:val="31374878"/>
    <w:rsid w:val="323E5792"/>
    <w:rsid w:val="32690A61"/>
    <w:rsid w:val="32803FFD"/>
    <w:rsid w:val="329D070B"/>
    <w:rsid w:val="32D57EA5"/>
    <w:rsid w:val="332350B4"/>
    <w:rsid w:val="33ED121E"/>
    <w:rsid w:val="343230D5"/>
    <w:rsid w:val="346A286F"/>
    <w:rsid w:val="3579545F"/>
    <w:rsid w:val="36034D29"/>
    <w:rsid w:val="36107446"/>
    <w:rsid w:val="363475D8"/>
    <w:rsid w:val="366854D4"/>
    <w:rsid w:val="36A75FFC"/>
    <w:rsid w:val="36DE12F2"/>
    <w:rsid w:val="371D006C"/>
    <w:rsid w:val="377A54BF"/>
    <w:rsid w:val="382A0C93"/>
    <w:rsid w:val="384D2BD3"/>
    <w:rsid w:val="39A24859"/>
    <w:rsid w:val="39FC040D"/>
    <w:rsid w:val="3B2C4D22"/>
    <w:rsid w:val="3B4007CD"/>
    <w:rsid w:val="3B6B584A"/>
    <w:rsid w:val="3B7D557D"/>
    <w:rsid w:val="3BDD7DCA"/>
    <w:rsid w:val="3C1F6635"/>
    <w:rsid w:val="3C591B47"/>
    <w:rsid w:val="3CBE5E4E"/>
    <w:rsid w:val="3D143CBF"/>
    <w:rsid w:val="3D4F4CF8"/>
    <w:rsid w:val="3D8C5F4C"/>
    <w:rsid w:val="3DA70690"/>
    <w:rsid w:val="3EAF3CA0"/>
    <w:rsid w:val="3EC3599D"/>
    <w:rsid w:val="3EFB6EE5"/>
    <w:rsid w:val="3F0D4E6A"/>
    <w:rsid w:val="40330901"/>
    <w:rsid w:val="40E96A40"/>
    <w:rsid w:val="40F40090"/>
    <w:rsid w:val="41285F8B"/>
    <w:rsid w:val="41586871"/>
    <w:rsid w:val="415E19AD"/>
    <w:rsid w:val="41CF4659"/>
    <w:rsid w:val="42276243"/>
    <w:rsid w:val="42497F67"/>
    <w:rsid w:val="42636D43"/>
    <w:rsid w:val="434846C3"/>
    <w:rsid w:val="443F7874"/>
    <w:rsid w:val="44450C02"/>
    <w:rsid w:val="44957494"/>
    <w:rsid w:val="44B00772"/>
    <w:rsid w:val="456F23DB"/>
    <w:rsid w:val="46AE0CE1"/>
    <w:rsid w:val="46DD15C6"/>
    <w:rsid w:val="46E22739"/>
    <w:rsid w:val="471F1BDF"/>
    <w:rsid w:val="47811F51"/>
    <w:rsid w:val="47F92430"/>
    <w:rsid w:val="48117779"/>
    <w:rsid w:val="48691363"/>
    <w:rsid w:val="48C42A3E"/>
    <w:rsid w:val="48FF5824"/>
    <w:rsid w:val="493E459E"/>
    <w:rsid w:val="49836455"/>
    <w:rsid w:val="4A2F038B"/>
    <w:rsid w:val="4A742241"/>
    <w:rsid w:val="4AB03279"/>
    <w:rsid w:val="4B7C13AE"/>
    <w:rsid w:val="4BC845F3"/>
    <w:rsid w:val="4C787DC7"/>
    <w:rsid w:val="4D9C1893"/>
    <w:rsid w:val="4E2F0959"/>
    <w:rsid w:val="4E434405"/>
    <w:rsid w:val="4E8011B5"/>
    <w:rsid w:val="4E8862BB"/>
    <w:rsid w:val="4E9B1B4B"/>
    <w:rsid w:val="4EDD03B5"/>
    <w:rsid w:val="4EF13E61"/>
    <w:rsid w:val="4FC155E1"/>
    <w:rsid w:val="50B74C36"/>
    <w:rsid w:val="50C3182D"/>
    <w:rsid w:val="510065DD"/>
    <w:rsid w:val="52854FEC"/>
    <w:rsid w:val="52B919D0"/>
    <w:rsid w:val="53204D14"/>
    <w:rsid w:val="536F17F8"/>
    <w:rsid w:val="53AE2320"/>
    <w:rsid w:val="5527238A"/>
    <w:rsid w:val="55450A62"/>
    <w:rsid w:val="55B41744"/>
    <w:rsid w:val="55FF50B5"/>
    <w:rsid w:val="564B02FA"/>
    <w:rsid w:val="56CD51B3"/>
    <w:rsid w:val="56E322E1"/>
    <w:rsid w:val="573A3ECB"/>
    <w:rsid w:val="580469B3"/>
    <w:rsid w:val="5923730C"/>
    <w:rsid w:val="5988716F"/>
    <w:rsid w:val="5DF9063C"/>
    <w:rsid w:val="5E14191A"/>
    <w:rsid w:val="5E8720EC"/>
    <w:rsid w:val="5E9640DD"/>
    <w:rsid w:val="5F3E6C4E"/>
    <w:rsid w:val="5F3F6522"/>
    <w:rsid w:val="60206354"/>
    <w:rsid w:val="617C3A5E"/>
    <w:rsid w:val="618B3CA1"/>
    <w:rsid w:val="61CD250B"/>
    <w:rsid w:val="61F730E4"/>
    <w:rsid w:val="61FA4982"/>
    <w:rsid w:val="6252656D"/>
    <w:rsid w:val="62B80AC5"/>
    <w:rsid w:val="62E93375"/>
    <w:rsid w:val="62E95123"/>
    <w:rsid w:val="6329551F"/>
    <w:rsid w:val="633640E0"/>
    <w:rsid w:val="644B7717"/>
    <w:rsid w:val="64607667"/>
    <w:rsid w:val="65B65064"/>
    <w:rsid w:val="65FE7137"/>
    <w:rsid w:val="667473F9"/>
    <w:rsid w:val="668B64F1"/>
    <w:rsid w:val="669058B5"/>
    <w:rsid w:val="66974E96"/>
    <w:rsid w:val="67C1041C"/>
    <w:rsid w:val="68014CBD"/>
    <w:rsid w:val="682E182A"/>
    <w:rsid w:val="684150B9"/>
    <w:rsid w:val="684D3A5E"/>
    <w:rsid w:val="68D67EF7"/>
    <w:rsid w:val="68D73C6F"/>
    <w:rsid w:val="69540E1C"/>
    <w:rsid w:val="696E6382"/>
    <w:rsid w:val="69D41F5D"/>
    <w:rsid w:val="6A356EA0"/>
    <w:rsid w:val="6B8974A3"/>
    <w:rsid w:val="6C1A634D"/>
    <w:rsid w:val="6C726189"/>
    <w:rsid w:val="6CF03552"/>
    <w:rsid w:val="6D5E670D"/>
    <w:rsid w:val="6E865F1C"/>
    <w:rsid w:val="6F060E0B"/>
    <w:rsid w:val="6F307C36"/>
    <w:rsid w:val="6FAB748D"/>
    <w:rsid w:val="6FDD7DBD"/>
    <w:rsid w:val="6FE54EC4"/>
    <w:rsid w:val="70D311C0"/>
    <w:rsid w:val="725D51E5"/>
    <w:rsid w:val="7318735E"/>
    <w:rsid w:val="731955B0"/>
    <w:rsid w:val="7379604F"/>
    <w:rsid w:val="737F73DD"/>
    <w:rsid w:val="745B5755"/>
    <w:rsid w:val="749F1AE5"/>
    <w:rsid w:val="75954C96"/>
    <w:rsid w:val="75A66EA3"/>
    <w:rsid w:val="75AD0232"/>
    <w:rsid w:val="75BF7F65"/>
    <w:rsid w:val="765B5EE0"/>
    <w:rsid w:val="781C169F"/>
    <w:rsid w:val="788449C2"/>
    <w:rsid w:val="78986F77"/>
    <w:rsid w:val="78EC1071"/>
    <w:rsid w:val="79556C16"/>
    <w:rsid w:val="79D20267"/>
    <w:rsid w:val="79E461EC"/>
    <w:rsid w:val="7A995229"/>
    <w:rsid w:val="7AEC7106"/>
    <w:rsid w:val="7AEF4E49"/>
    <w:rsid w:val="7BBB4D2B"/>
    <w:rsid w:val="7C4F3DF1"/>
    <w:rsid w:val="7CD97B5E"/>
    <w:rsid w:val="7D0746CC"/>
    <w:rsid w:val="7D3923AB"/>
    <w:rsid w:val="7D6438CC"/>
    <w:rsid w:val="7D8B70AB"/>
    <w:rsid w:val="7DD24CD9"/>
    <w:rsid w:val="7DD65E4C"/>
    <w:rsid w:val="7E094473"/>
    <w:rsid w:val="7E1075B0"/>
    <w:rsid w:val="7E4F632A"/>
    <w:rsid w:val="7E5F22E5"/>
    <w:rsid w:val="7F0F5AB9"/>
    <w:rsid w:val="7F286B7B"/>
    <w:rsid w:val="7F62208D"/>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1a658828-c7a4-4851-b076-c0244e451381</errorID>
      <errorWord>鉴定</errorWord>
      <group>L1_Word</group>
      <groupName>字词问题</groupName>
      <ability>L2_Typo</ability>
      <abilityName>字词错误</abilityName>
      <candidateList>
        <item>检定</item>
      </candidateList>
      <explain/>
      <paraID> E7BE73A</paraID>
      <start>145</start>
      <end>147</end>
      <status>ignored</status>
      <modifiedWord/>
      <trackRevisions>false</trackRevisions>
    </reviewItem>
  </reviewItems>
  <config/>
</contractReview>
</file>

<file path=customXml/itemProps1.xml><?xml version="1.0" encoding="utf-8"?>
<ds:datastoreItem xmlns:ds="http://schemas.openxmlformats.org/officeDocument/2006/customXml" ds:itemID="{441fce7b-96de-4858-83fd-ac9a26283b74}">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2666</Words>
  <Characters>2698</Characters>
  <Lines>0</Lines>
  <Paragraphs>0</Paragraphs>
  <TotalTime>3</TotalTime>
  <ScaleCrop>false</ScaleCrop>
  <LinksUpToDate>false</LinksUpToDate>
  <CharactersWithSpaces>2797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2026-01-08T03:55:00Z</dcterms:created>
  <dc:creator>消防科</dc:creator>
  <cp:lastModifiedBy>永不言弃</cp:lastModifiedBy>
  <dcterms:modified xsi:type="dcterms:W3CDTF">2026-01-09T04:35:50Z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eyJoZGlkIjoiYjk5MGZlMjY5YjRhYzVhMjJjOGU0NTgyOTk2Y2U5MjEiLCJ1c2VySWQiOiIyNjU0NTAwNzEifQ==</vt:lpwstr>
  </property>
  <property fmtid="{D5CDD505-2E9C-101B-9397-08002B2CF9AE}" pid="4" name="ICV">
    <vt:lpwstr>FA22CED668724E7B918D9F1F63D99C17_12</vt:lpwstr>
  </property>
</Properties>
</file>