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1.权利保证：供应商应保证出卖给买方的产品或产品任何部分非他人所有或与他人共有，未设有抵押权、租赁权，未侵犯他人的专利权、版权、商标权等知识产权。一旦出现侵权，卖方应承担全部责任。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或质量认证证书或者合格证或上级行政部门颁发的相关符合质量证书或其他任何可以有效证明产品质量合格的资料）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228EA1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5.供应商必须按照采购方具体要求安装消防设施设备，并负责在指定区域安装调试。在质保期内出现任何质量问题由供应商承担。</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6.供应商负责所有需要安装的消防设施设备的搬运、安装、调试工作，在这过程中出现的供应商单位人员人身及物品安全问题由供应商自行负责，与甲方无关。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1484098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其他具体要求：</w:t>
      </w:r>
    </w:p>
    <w:p w14:paraId="42FF98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1.供应商所提供的设备材料有国家消防装备质量监督检验中心检验报告并在报价响应文件中向甲方提供；若在报价响应文件中不按要求提供相关设备设施的检验报告视为无效报价响应文件。</w:t>
      </w:r>
    </w:p>
    <w:p w14:paraId="0C9A9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2.提供的货物由供应商免费安装、组装、测试等直至设备运转正常。项目外所产生的一切费用均由供应商承担，与甲方无关；</w:t>
      </w:r>
    </w:p>
    <w:p w14:paraId="2395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3.具有独立承担民事责任的能力；</w:t>
      </w:r>
    </w:p>
    <w:p w14:paraId="5F22B2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4.甲方不提供住宿场所以及校内住宿场地；</w:t>
      </w:r>
    </w:p>
    <w:p w14:paraId="25E3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货时间为甲方指定的时间（由甲方向供应商派发施工单或电话通知）次日起2日内完成拆除供货安装测试调试；若2日内无法完成拆除供货安装测试超出甲方指定完工的日期，根据实际情况处理；每超过一天（不足一天按照一整天计算）甲方按照供应商报价总价款的5%进行处罚（从决算中扣除）；供货安装测试调试产生的所有费用以及所有工作人员的人身安全等由供应商承担与甲方无关；供应商必须在报价响应文件中单独出具供货安装测试完成交付的具体时间的承诺书，不提供视为无效报价响应文件；</w:t>
      </w:r>
    </w:p>
    <w:p w14:paraId="19CFE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6.甲方单位组织专家等对供应商所提供货物、安装完成后的运转情况进行鉴定验收（阶段鉴定验收、终期鉴定验收、全数检验验收、抽样检验</w:t>
      </w:r>
      <w:bookmarkStart w:id="3" w:name="_GoBack"/>
      <w:bookmarkEnd w:id="3"/>
      <w:r>
        <w:rPr>
          <w:rFonts w:hint="eastAsia" w:ascii="Times New Roman" w:hAnsi="Times New Roman" w:eastAsia="宋体"/>
          <w:sz w:val="22"/>
          <w:szCs w:val="22"/>
          <w:lang w:val="en-US" w:eastAsia="zh-CN"/>
        </w:rPr>
        <w:t>验收），若发现虚假、作假，不满足相关规范要求的现象，甲方有权要求供应商及时进行整改，（整改期间的时间计算在甲方指定完工的日期内，产生的一切后果及费用由供应商承担，与甲方无关）；若在甲方限期内整改后仍然无法达到相关规范要求或未能整改，由供应商向甲方单位（单次）偿付总价的5%处罚金（从决算中扣除）。</w:t>
      </w:r>
    </w:p>
    <w:p w14:paraId="765F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7.供应商在拆除安装测试调试期间，须安排一名具有中级消防设施操作员（检测维修保养方向）及以上资质的人员为现场项目负责人，对此次维修换新拆除安装过程进行全时全程监督监管，确保现场工作人员操作符合相关规范要求，直至安装交付验收完毕；对此类人员的安排供应商需在报价响应文件中向甲方单位单独出具承诺书，不提供视为无效报价响应文件；甲方将不定时派员巡视此次项目的进度完成情况。甲方若发现工作期间现场无项目负责人在现场监督，甲方有权立即叫停，要求供应商立即整改（停工期间的时间计算在甲方指定完工的日期内，产生的一切后果及费用由供应商承担，与甲方无关）；甲方若发现工作期间现场项目负责人属无证人员，甲方有权立即叫停，要求供应商立即整改（停工期间的时间计算在甲方指定完工的日期内，产生的一切后果及费用由供应商承担与甲方无关）；</w:t>
      </w:r>
    </w:p>
    <w:p w14:paraId="0E7BE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8.货物进场后，甲方对货物质量、品牌、型号、数量等进行鉴定查验。货物符合标准经甲方同意后方可安装；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商品或部件（调换的时间计算在甲方指定的日期内），产生的一切后果及费用由供应商承担，与甲方无关。</w:t>
      </w:r>
    </w:p>
    <w:p w14:paraId="42444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9.供应商应保证货物是全新、未使用过的原装合格正品，并完全符合生产企业或国家规定的质量、规格和性能的要求。供应商需在报价响应文件中向甲方单位单独出具承诺书，不提供视为无效报价响应文件；</w:t>
      </w:r>
    </w:p>
    <w:p w14:paraId="26786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10.安装过程中若对电线、电路、电缆、光纤等线路、管网等造成损坏影响，均由供应商承担相关费用及后果，与甲方无关。供应商必须按照相关部门的要求和规定及时修复。</w:t>
      </w:r>
    </w:p>
    <w:p w14:paraId="3D9900CF">
      <w:pPr>
        <w:pStyle w:val="2"/>
        <w:bidi w:val="0"/>
        <w:jc w:val="center"/>
        <w:rPr>
          <w:rFonts w:hint="eastAsia"/>
          <w:b/>
          <w:sz w:val="36"/>
          <w:szCs w:val="36"/>
        </w:rPr>
      </w:pPr>
      <w:r>
        <w:rPr>
          <w:rFonts w:hint="eastAsia"/>
          <w:b/>
          <w:sz w:val="36"/>
          <w:szCs w:val="36"/>
        </w:rPr>
        <w:t>承诺书</w:t>
      </w:r>
    </w:p>
    <w:p w14:paraId="780C11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我公司郑重承诺具备以下条件：</w:t>
      </w:r>
    </w:p>
    <w:p w14:paraId="142DE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1.具有独立承担民事责任的能力；</w:t>
      </w:r>
    </w:p>
    <w:p w14:paraId="20531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2.具有良好的商业信誉；</w:t>
      </w:r>
    </w:p>
    <w:p w14:paraId="102129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3.具有履行合同所必需的设备和专业技术能力；</w:t>
      </w:r>
    </w:p>
    <w:p w14:paraId="3D1ED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4.有依法缴纳税收的良好记录；</w:t>
      </w:r>
    </w:p>
    <w:p w14:paraId="3A4510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5.参加本次采购活动前三年内，在经营活动中没有重大违法记录；</w:t>
      </w:r>
    </w:p>
    <w:p w14:paraId="093F9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6.法律、行政法规规定的其他条件。</w:t>
      </w:r>
    </w:p>
    <w:p w14:paraId="14F5ED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p>
    <w:p w14:paraId="375F33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供应商名称：XXX（盖章）</w:t>
      </w:r>
    </w:p>
    <w:p w14:paraId="61D46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rPr>
        <w:t>日期：XXX年XX月</w:t>
      </w:r>
      <w:bookmarkStart w:id="0" w:name="_Hlt26955070"/>
      <w:bookmarkEnd w:id="0"/>
      <w:bookmarkStart w:id="1" w:name="_格式3__银行出具的资信证明"/>
      <w:bookmarkEnd w:id="1"/>
      <w:bookmarkStart w:id="2" w:name="_Hlt26671380"/>
      <w:bookmarkEnd w:id="2"/>
      <w:r>
        <w:rPr>
          <w:rFonts w:hint="eastAsia" w:ascii="Times New Roman" w:hAnsi="Times New Roman" w:eastAsia="宋体"/>
          <w:sz w:val="24"/>
        </w:rPr>
        <w:t>XX</w:t>
      </w:r>
      <w:r>
        <w:rPr>
          <w:rFonts w:hint="eastAsia" w:ascii="Times New Roman" w:hAnsi="Times New Roman" w:eastAsia="宋体"/>
          <w:sz w:val="24"/>
          <w:lang w:val="en-US" w:eastAsia="zh-CN"/>
        </w:rPr>
        <w:t>日</w:t>
      </w:r>
    </w:p>
    <w:p w14:paraId="36C08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0FB96BBB">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Times New Roman"/>
          <w:b/>
          <w:bCs/>
          <w:sz w:val="32"/>
          <w:szCs w:val="32"/>
        </w:rPr>
      </w:pPr>
      <w:r>
        <w:rPr>
          <w:rFonts w:hint="eastAsia" w:ascii="仿宋" w:hAnsi="仿宋" w:eastAsia="仿宋" w:cs="Times New Roman"/>
          <w:b/>
          <w:bCs/>
          <w:sz w:val="32"/>
          <w:szCs w:val="32"/>
          <w:lang w:val="en-US" w:eastAsia="zh-CN"/>
        </w:rPr>
        <w:t>仙林校区计算机学科楼损坏消火栓箱部件、老化软管卷盘维修更换换新项目</w:t>
      </w:r>
      <w:r>
        <w:rPr>
          <w:rFonts w:hint="eastAsia" w:ascii="仿宋" w:hAnsi="仿宋" w:eastAsia="仿宋" w:cs="Times New Roman"/>
          <w:b/>
          <w:bCs/>
          <w:sz w:val="32"/>
          <w:szCs w:val="32"/>
        </w:rPr>
        <w:t>询价响应报价</w:t>
      </w:r>
      <w:r>
        <w:rPr>
          <w:rFonts w:hint="eastAsia" w:ascii="仿宋" w:hAnsi="仿宋" w:eastAsia="仿宋" w:cs="Times New Roman"/>
          <w:b/>
          <w:bCs/>
          <w:sz w:val="32"/>
          <w:szCs w:val="32"/>
          <w:lang w:val="en-US" w:eastAsia="zh-CN"/>
        </w:rPr>
        <w:t>单</w:t>
      </w:r>
    </w:p>
    <w:tbl>
      <w:tblPr>
        <w:tblStyle w:val="3"/>
        <w:tblpPr w:leftFromText="180" w:rightFromText="180" w:vertAnchor="page" w:horzAnchor="page" w:tblpX="1742" w:tblpY="3411"/>
        <w:tblOverlap w:val="never"/>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3025"/>
        <w:gridCol w:w="1747"/>
        <w:gridCol w:w="750"/>
        <w:gridCol w:w="1326"/>
        <w:gridCol w:w="1234"/>
      </w:tblGrid>
      <w:tr w14:paraId="3F5A69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56" w:type="pct"/>
            <w:tcBorders>
              <w:tl2br w:val="nil"/>
              <w:tr2bl w:val="nil"/>
            </w:tcBorders>
            <w:shd w:val="pct10" w:color="auto" w:fill="FFFFFF"/>
            <w:vAlign w:val="center"/>
          </w:tcPr>
          <w:p w14:paraId="7D866899">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rPr>
              <w:t>编号</w:t>
            </w:r>
          </w:p>
        </w:tc>
        <w:tc>
          <w:tcPr>
            <w:tcW w:w="1776" w:type="pct"/>
            <w:tcBorders>
              <w:tl2br w:val="nil"/>
              <w:tr2bl w:val="nil"/>
            </w:tcBorders>
            <w:shd w:val="pct10" w:color="auto" w:fill="FFFFFF"/>
            <w:vAlign w:val="center"/>
          </w:tcPr>
          <w:p w14:paraId="736EDDE1">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lang w:val="en-US" w:eastAsia="zh-CN"/>
              </w:rPr>
              <w:t>项目</w:t>
            </w:r>
            <w:r>
              <w:rPr>
                <w:rFonts w:hint="eastAsia" w:ascii="Arial" w:hAnsi="Arial" w:eastAsia="楷体_GB2312" w:cs="Times New Roman"/>
                <w:b/>
                <w:kern w:val="0"/>
                <w:sz w:val="22"/>
                <w:szCs w:val="22"/>
              </w:rPr>
              <w:t>名称</w:t>
            </w:r>
          </w:p>
        </w:tc>
        <w:tc>
          <w:tcPr>
            <w:tcW w:w="1026" w:type="pct"/>
            <w:tcBorders>
              <w:tl2br w:val="nil"/>
              <w:tr2bl w:val="nil"/>
            </w:tcBorders>
            <w:shd w:val="pct10" w:color="auto" w:fill="FFFFFF"/>
            <w:vAlign w:val="center"/>
          </w:tcPr>
          <w:p w14:paraId="704FD454">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rPr>
              <w:t>规</w:t>
            </w:r>
            <w:r>
              <w:rPr>
                <w:rFonts w:ascii="Arial" w:hAnsi="Arial" w:eastAsia="楷体_GB2312" w:cs="Times New Roman"/>
                <w:b/>
                <w:kern w:val="0"/>
                <w:sz w:val="22"/>
                <w:szCs w:val="22"/>
              </w:rPr>
              <w:t xml:space="preserve"> </w:t>
            </w:r>
            <w:r>
              <w:rPr>
                <w:rFonts w:hint="eastAsia" w:ascii="Arial" w:hAnsi="Arial" w:eastAsia="楷体_GB2312" w:cs="Times New Roman"/>
                <w:b/>
                <w:kern w:val="0"/>
                <w:sz w:val="22"/>
                <w:szCs w:val="22"/>
              </w:rPr>
              <w:t>格</w:t>
            </w:r>
            <w:r>
              <w:rPr>
                <w:rFonts w:ascii="Arial" w:hAnsi="Arial" w:eastAsia="楷体_GB2312" w:cs="Times New Roman"/>
                <w:b/>
                <w:kern w:val="0"/>
                <w:sz w:val="22"/>
                <w:szCs w:val="22"/>
              </w:rPr>
              <w:t xml:space="preserve"> </w:t>
            </w:r>
            <w:r>
              <w:rPr>
                <w:rFonts w:hint="eastAsia" w:ascii="Arial" w:hAnsi="Arial" w:eastAsia="楷体_GB2312" w:cs="Times New Roman"/>
                <w:b/>
                <w:kern w:val="0"/>
                <w:sz w:val="22"/>
                <w:szCs w:val="22"/>
              </w:rPr>
              <w:t>型</w:t>
            </w:r>
            <w:r>
              <w:rPr>
                <w:rFonts w:ascii="Arial" w:hAnsi="Arial" w:eastAsia="楷体_GB2312" w:cs="Times New Roman"/>
                <w:b/>
                <w:kern w:val="0"/>
                <w:sz w:val="22"/>
                <w:szCs w:val="22"/>
              </w:rPr>
              <w:t xml:space="preserve"> </w:t>
            </w:r>
            <w:r>
              <w:rPr>
                <w:rFonts w:hint="eastAsia" w:ascii="Arial" w:hAnsi="Arial" w:eastAsia="楷体_GB2312" w:cs="Times New Roman"/>
                <w:b/>
                <w:kern w:val="0"/>
                <w:sz w:val="22"/>
                <w:szCs w:val="22"/>
              </w:rPr>
              <w:t>号</w:t>
            </w:r>
          </w:p>
          <w:p w14:paraId="011E112A">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rPr>
              <w:t>（品牌）</w:t>
            </w:r>
          </w:p>
        </w:tc>
        <w:tc>
          <w:tcPr>
            <w:tcW w:w="440" w:type="pct"/>
            <w:tcBorders>
              <w:tl2br w:val="nil"/>
              <w:tr2bl w:val="nil"/>
            </w:tcBorders>
            <w:shd w:val="pct10" w:color="auto" w:fill="FFFFFF"/>
            <w:vAlign w:val="center"/>
          </w:tcPr>
          <w:p w14:paraId="04E94654">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rPr>
              <w:t>数量</w:t>
            </w:r>
          </w:p>
        </w:tc>
        <w:tc>
          <w:tcPr>
            <w:tcW w:w="778" w:type="pct"/>
            <w:tcBorders>
              <w:tl2br w:val="nil"/>
              <w:tr2bl w:val="nil"/>
            </w:tcBorders>
            <w:shd w:val="pct10" w:color="auto" w:fill="FFFFFF"/>
            <w:vAlign w:val="center"/>
          </w:tcPr>
          <w:p w14:paraId="7B497F3E">
            <w:pPr>
              <w:snapToGrid w:val="0"/>
              <w:spacing w:line="240" w:lineRule="atLeast"/>
              <w:jc w:val="center"/>
              <w:rPr>
                <w:rFonts w:hint="eastAsia" w:ascii="Arial" w:hAnsi="Arial" w:eastAsia="楷体_GB2312" w:cs="Times New Roman"/>
                <w:b/>
                <w:kern w:val="0"/>
                <w:sz w:val="22"/>
                <w:szCs w:val="22"/>
              </w:rPr>
            </w:pPr>
            <w:r>
              <w:rPr>
                <w:rFonts w:hint="eastAsia" w:ascii="Arial" w:hAnsi="Arial" w:eastAsia="楷体_GB2312" w:cs="Times New Roman"/>
                <w:b/>
                <w:kern w:val="0"/>
                <w:sz w:val="22"/>
                <w:szCs w:val="22"/>
              </w:rPr>
              <w:t>单价（元）</w:t>
            </w:r>
          </w:p>
        </w:tc>
        <w:tc>
          <w:tcPr>
            <w:tcW w:w="721" w:type="pct"/>
            <w:tcBorders>
              <w:tl2br w:val="nil"/>
              <w:tr2bl w:val="nil"/>
            </w:tcBorders>
            <w:shd w:val="pct10" w:color="auto" w:fill="FFFFFF"/>
            <w:vAlign w:val="center"/>
          </w:tcPr>
          <w:p w14:paraId="00CE21F8">
            <w:pPr>
              <w:widowControl/>
              <w:jc w:val="center"/>
              <w:rPr>
                <w:rFonts w:hint="eastAsia" w:ascii="Arial" w:hAnsi="Arial" w:eastAsia="楷体_GB2312" w:cs="Times New Roman"/>
                <w:b/>
                <w:kern w:val="0"/>
                <w:sz w:val="22"/>
                <w:szCs w:val="22"/>
                <w:lang w:val="en-US" w:eastAsia="zh-CN"/>
              </w:rPr>
            </w:pPr>
            <w:r>
              <w:rPr>
                <w:rFonts w:hint="eastAsia" w:ascii="Arial" w:hAnsi="Arial" w:eastAsia="楷体_GB2312" w:cs="Times New Roman"/>
                <w:b/>
                <w:kern w:val="0"/>
                <w:sz w:val="22"/>
                <w:szCs w:val="22"/>
              </w:rPr>
              <w:t>总价（元）</w:t>
            </w:r>
          </w:p>
        </w:tc>
      </w:tr>
      <w:tr w14:paraId="0B11076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56" w:type="pct"/>
            <w:tcBorders>
              <w:tl2br w:val="nil"/>
              <w:tr2bl w:val="nil"/>
            </w:tcBorders>
            <w:vAlign w:val="center"/>
          </w:tcPr>
          <w:p w14:paraId="51E448D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 w:val="21"/>
              </w:rPr>
            </w:pPr>
            <w:r>
              <w:rPr>
                <w:rFonts w:hint="eastAsia" w:ascii="Times New Roman" w:hAnsi="Times New Roman"/>
                <w:sz w:val="21"/>
              </w:rPr>
              <w:t>1</w:t>
            </w:r>
          </w:p>
        </w:tc>
        <w:tc>
          <w:tcPr>
            <w:tcW w:w="1776" w:type="pct"/>
            <w:tcBorders>
              <w:tl2br w:val="nil"/>
              <w:tr2bl w:val="nil"/>
            </w:tcBorders>
            <w:vAlign w:val="center"/>
          </w:tcPr>
          <w:p w14:paraId="5CFA93C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消防软管卷盘全套（损坏换新）</w:t>
            </w:r>
          </w:p>
        </w:tc>
        <w:tc>
          <w:tcPr>
            <w:tcW w:w="1026" w:type="pct"/>
            <w:tcBorders>
              <w:tl2br w:val="nil"/>
              <w:tr2bl w:val="nil"/>
            </w:tcBorders>
            <w:vAlign w:val="center"/>
          </w:tcPr>
          <w:p w14:paraId="37333A3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淮海、国标</w:t>
            </w:r>
          </w:p>
        </w:tc>
        <w:tc>
          <w:tcPr>
            <w:tcW w:w="440" w:type="pct"/>
            <w:tcBorders>
              <w:tl2br w:val="nil"/>
              <w:tr2bl w:val="nil"/>
            </w:tcBorders>
            <w:shd w:val="clear" w:color="auto" w:fill="auto"/>
            <w:vAlign w:val="center"/>
          </w:tcPr>
          <w:p w14:paraId="337590A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29套</w:t>
            </w:r>
          </w:p>
        </w:tc>
        <w:tc>
          <w:tcPr>
            <w:tcW w:w="778" w:type="pct"/>
            <w:tcBorders>
              <w:tl2br w:val="nil"/>
              <w:tr2bl w:val="nil"/>
            </w:tcBorders>
            <w:shd w:val="clear" w:color="auto" w:fill="auto"/>
            <w:vAlign w:val="center"/>
          </w:tcPr>
          <w:p w14:paraId="5321E26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p>
        </w:tc>
        <w:tc>
          <w:tcPr>
            <w:tcW w:w="721" w:type="pct"/>
            <w:tcBorders>
              <w:tl2br w:val="nil"/>
              <w:tr2bl w:val="nil"/>
            </w:tcBorders>
            <w:shd w:val="clear" w:color="auto" w:fill="auto"/>
            <w:vAlign w:val="center"/>
          </w:tcPr>
          <w:p w14:paraId="06BEBD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p>
        </w:tc>
      </w:tr>
      <w:tr w14:paraId="28B3B5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6" w:type="pct"/>
            <w:tcBorders>
              <w:tl2br w:val="nil"/>
              <w:tr2bl w:val="nil"/>
            </w:tcBorders>
            <w:vAlign w:val="center"/>
          </w:tcPr>
          <w:p w14:paraId="0332065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 w:val="21"/>
                <w:lang w:val="en-US" w:eastAsia="zh-CN"/>
              </w:rPr>
            </w:pPr>
            <w:r>
              <w:rPr>
                <w:rFonts w:hint="eastAsia" w:ascii="Times New Roman" w:hAnsi="Times New Roman"/>
                <w:sz w:val="21"/>
                <w:lang w:val="en-US" w:eastAsia="zh-CN"/>
              </w:rPr>
              <w:t>2</w:t>
            </w:r>
          </w:p>
        </w:tc>
        <w:tc>
          <w:tcPr>
            <w:tcW w:w="1776" w:type="pct"/>
            <w:tcBorders>
              <w:tl2br w:val="nil"/>
              <w:tr2bl w:val="nil"/>
            </w:tcBorders>
            <w:vAlign w:val="center"/>
          </w:tcPr>
          <w:p w14:paraId="4AC1665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 w:val="21"/>
                <w:lang w:val="en-US" w:eastAsia="zh-CN"/>
              </w:rPr>
            </w:pPr>
            <w:r>
              <w:rPr>
                <w:rFonts w:hint="eastAsia" w:ascii="Times New Roman" w:hAnsi="Times New Roman"/>
                <w:sz w:val="21"/>
                <w:lang w:val="en-US" w:eastAsia="zh-CN"/>
              </w:rPr>
              <w:t>定制消火栓箱铝合金门框全套</w:t>
            </w:r>
          </w:p>
          <w:p w14:paraId="4C4DAF0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（损坏换新）</w:t>
            </w:r>
          </w:p>
        </w:tc>
        <w:tc>
          <w:tcPr>
            <w:tcW w:w="1026" w:type="pct"/>
            <w:tcBorders>
              <w:tl2br w:val="nil"/>
              <w:tr2bl w:val="nil"/>
            </w:tcBorders>
            <w:vAlign w:val="center"/>
          </w:tcPr>
          <w:p w14:paraId="5F7B7A0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1000mm*700mm</w:t>
            </w:r>
          </w:p>
        </w:tc>
        <w:tc>
          <w:tcPr>
            <w:tcW w:w="440" w:type="pct"/>
            <w:tcBorders>
              <w:tl2br w:val="nil"/>
              <w:tr2bl w:val="nil"/>
            </w:tcBorders>
            <w:shd w:val="clear" w:color="auto" w:fill="auto"/>
            <w:vAlign w:val="center"/>
          </w:tcPr>
          <w:p w14:paraId="4A81AD1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r>
              <w:rPr>
                <w:rFonts w:hint="eastAsia" w:ascii="Times New Roman" w:hAnsi="Times New Roman"/>
                <w:sz w:val="21"/>
                <w:lang w:val="en-US" w:eastAsia="zh-CN"/>
              </w:rPr>
              <w:t>10套</w:t>
            </w:r>
          </w:p>
        </w:tc>
        <w:tc>
          <w:tcPr>
            <w:tcW w:w="778" w:type="pct"/>
            <w:tcBorders>
              <w:tl2br w:val="nil"/>
              <w:tr2bl w:val="nil"/>
            </w:tcBorders>
            <w:shd w:val="clear" w:color="auto" w:fill="auto"/>
            <w:vAlign w:val="center"/>
          </w:tcPr>
          <w:p w14:paraId="276F78C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p>
        </w:tc>
        <w:tc>
          <w:tcPr>
            <w:tcW w:w="721" w:type="pct"/>
            <w:tcBorders>
              <w:tl2br w:val="nil"/>
              <w:tr2bl w:val="nil"/>
            </w:tcBorders>
            <w:shd w:val="clear" w:color="auto" w:fill="auto"/>
            <w:vAlign w:val="center"/>
          </w:tcPr>
          <w:p w14:paraId="63CC63B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sz w:val="21"/>
                <w:lang w:val="en-US" w:eastAsia="zh-CN"/>
              </w:rPr>
            </w:pPr>
          </w:p>
        </w:tc>
      </w:tr>
      <w:tr w14:paraId="5ECB14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000" w:type="pct"/>
            <w:gridSpan w:val="6"/>
            <w:tcBorders>
              <w:tl2br w:val="nil"/>
              <w:tr2bl w:val="nil"/>
            </w:tcBorders>
            <w:vAlign w:val="center"/>
          </w:tcPr>
          <w:p w14:paraId="3E565E27">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sz w:val="21"/>
                <w:lang w:val="en-US" w:eastAsia="zh-CN"/>
              </w:rPr>
            </w:pPr>
            <w:r>
              <w:rPr>
                <w:rFonts w:hint="eastAsia" w:ascii="Times New Roman" w:hAnsi="Times New Roman"/>
                <w:sz w:val="21"/>
              </w:rPr>
              <w:t>配置</w:t>
            </w:r>
            <w:r>
              <w:rPr>
                <w:rFonts w:hint="eastAsia" w:ascii="Times New Roman" w:hAnsi="Times New Roman"/>
                <w:sz w:val="21"/>
                <w:lang w:val="en-US" w:eastAsia="zh-CN"/>
              </w:rPr>
              <w:t>需求</w:t>
            </w:r>
            <w:r>
              <w:rPr>
                <w:rFonts w:hint="eastAsia" w:ascii="Times New Roman" w:hAnsi="Times New Roman"/>
                <w:sz w:val="21"/>
              </w:rPr>
              <w:t>是否满足</w:t>
            </w:r>
            <w:r>
              <w:rPr>
                <w:rFonts w:hint="eastAsia" w:ascii="Times New Roman" w:hAnsi="Times New Roman"/>
                <w:sz w:val="21"/>
                <w:lang w:eastAsia="zh-CN"/>
              </w:rPr>
              <w:t>：</w:t>
            </w:r>
            <w:r>
              <w:rPr>
                <w:rFonts w:hint="eastAsia" w:ascii="Times New Roman" w:hAnsi="Times New Roman"/>
                <w:sz w:val="21"/>
                <w:lang w:val="en-US" w:eastAsia="zh-CN"/>
              </w:rPr>
              <w:t xml:space="preserve">    </w:t>
            </w:r>
            <w:r>
              <w:rPr>
                <w:rFonts w:hint="eastAsia" w:ascii="Times New Roman" w:hAnsi="Times New Roman"/>
                <w:sz w:val="21"/>
                <w:lang w:eastAsia="zh-CN"/>
              </w:rPr>
              <w:t>□</w:t>
            </w:r>
            <w:r>
              <w:rPr>
                <w:rFonts w:hint="eastAsia" w:ascii="Times New Roman" w:hAnsi="Times New Roman"/>
                <w:sz w:val="21"/>
                <w:lang w:val="en-US" w:eastAsia="zh-CN"/>
              </w:rPr>
              <w:t>满足</w:t>
            </w:r>
            <w:r>
              <w:rPr>
                <w:rFonts w:hint="eastAsia" w:ascii="Times New Roman" w:hAnsi="Times New Roman"/>
                <w:sz w:val="21"/>
              </w:rPr>
              <w:t xml:space="preserve"> </w:t>
            </w:r>
            <w:r>
              <w:rPr>
                <w:rFonts w:hint="eastAsia" w:ascii="Times New Roman" w:hAnsi="Times New Roman"/>
                <w:sz w:val="21"/>
                <w:lang w:val="en-US" w:eastAsia="zh-CN"/>
              </w:rPr>
              <w:t xml:space="preserve">     </w:t>
            </w:r>
            <w:r>
              <w:rPr>
                <w:rFonts w:hint="eastAsia" w:ascii="Times New Roman" w:hAnsi="Times New Roman"/>
                <w:sz w:val="21"/>
                <w:lang w:eastAsia="zh-CN"/>
              </w:rPr>
              <w:t>□</w:t>
            </w:r>
            <w:r>
              <w:rPr>
                <w:rFonts w:hint="eastAsia" w:ascii="Times New Roman" w:hAnsi="Times New Roman"/>
                <w:sz w:val="21"/>
                <w:lang w:val="en-US" w:eastAsia="zh-CN"/>
              </w:rPr>
              <w:t>不满足</w:t>
            </w:r>
          </w:p>
          <w:p w14:paraId="2C4AA7A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z w:val="21"/>
                <w:lang w:val="en-US" w:eastAsia="zh-CN"/>
              </w:rPr>
            </w:pPr>
            <w:r>
              <w:rPr>
                <w:rFonts w:hint="eastAsia" w:ascii="Times New Roman" w:hAnsi="Times New Roman"/>
                <w:sz w:val="21"/>
                <w:lang w:val="en-US" w:eastAsia="zh-CN"/>
              </w:rPr>
              <w:t>项目完成时间</w:t>
            </w:r>
            <w:r>
              <w:rPr>
                <w:rFonts w:hint="eastAsia" w:ascii="Times New Roman" w:hAnsi="Times New Roman"/>
                <w:sz w:val="21"/>
              </w:rPr>
              <w:t>能否满足</w:t>
            </w:r>
            <w:r>
              <w:rPr>
                <w:rFonts w:hint="eastAsia" w:ascii="Times New Roman" w:hAnsi="Times New Roman"/>
                <w:sz w:val="21"/>
                <w:lang w:eastAsia="zh-CN"/>
              </w:rPr>
              <w:t>：□</w:t>
            </w:r>
            <w:r>
              <w:rPr>
                <w:rFonts w:hint="eastAsia" w:ascii="Times New Roman" w:hAnsi="Times New Roman"/>
                <w:sz w:val="21"/>
                <w:lang w:val="en-US" w:eastAsia="zh-CN"/>
              </w:rPr>
              <w:t>满足</w:t>
            </w:r>
            <w:r>
              <w:rPr>
                <w:rFonts w:hint="eastAsia" w:ascii="Times New Roman" w:hAnsi="Times New Roman"/>
                <w:sz w:val="21"/>
              </w:rPr>
              <w:t xml:space="preserve"> </w:t>
            </w:r>
            <w:r>
              <w:rPr>
                <w:rFonts w:hint="eastAsia" w:ascii="Times New Roman" w:hAnsi="Times New Roman"/>
                <w:sz w:val="21"/>
                <w:lang w:val="en-US" w:eastAsia="zh-CN"/>
              </w:rPr>
              <w:t xml:space="preserve">     </w:t>
            </w:r>
            <w:r>
              <w:rPr>
                <w:rFonts w:hint="eastAsia" w:ascii="Times New Roman" w:hAnsi="Times New Roman"/>
                <w:sz w:val="21"/>
                <w:lang w:eastAsia="zh-CN"/>
              </w:rPr>
              <w:t>□</w:t>
            </w:r>
            <w:r>
              <w:rPr>
                <w:rFonts w:hint="eastAsia" w:ascii="Times New Roman" w:hAnsi="Times New Roman"/>
                <w:sz w:val="21"/>
                <w:lang w:val="en-US" w:eastAsia="zh-CN"/>
              </w:rPr>
              <w:t>不满足</w:t>
            </w:r>
          </w:p>
        </w:tc>
      </w:tr>
      <w:tr w14:paraId="429DBC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000" w:type="pct"/>
            <w:gridSpan w:val="6"/>
            <w:tcBorders>
              <w:tl2br w:val="nil"/>
              <w:tr2bl w:val="nil"/>
            </w:tcBorders>
            <w:vAlign w:val="center"/>
          </w:tcPr>
          <w:p w14:paraId="5DCE5DCD">
            <w:pPr>
              <w:rPr>
                <w:rFonts w:hint="eastAsia"/>
                <w:b/>
                <w:lang w:val="en-US" w:eastAsia="zh-CN"/>
              </w:rPr>
            </w:pPr>
            <w:r>
              <w:rPr>
                <w:rFonts w:hint="eastAsia"/>
                <w:b/>
                <w:lang w:val="en-US" w:eastAsia="zh-CN"/>
              </w:rPr>
              <w:t>备注：</w:t>
            </w:r>
          </w:p>
          <w:p w14:paraId="00F74D2B">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Theme="minorEastAsia"/>
                <w:sz w:val="21"/>
                <w:lang w:eastAsia="zh-CN"/>
              </w:rPr>
            </w:pPr>
            <w:r>
              <w:rPr>
                <w:rFonts w:hint="eastAsia" w:ascii="Times New Roman" w:hAnsi="Times New Roman"/>
                <w:sz w:val="21"/>
                <w:lang w:val="en-US" w:eastAsia="zh-CN"/>
              </w:rPr>
              <w:t>①</w:t>
            </w:r>
            <w:r>
              <w:rPr>
                <w:rFonts w:hint="eastAsia" w:ascii="Times New Roman" w:hAnsi="Times New Roman"/>
                <w:sz w:val="21"/>
              </w:rPr>
              <w:t>所有报价均用人民币表示</w:t>
            </w:r>
            <w:r>
              <w:rPr>
                <w:rFonts w:hint="eastAsia" w:ascii="Times New Roman" w:hAnsi="Times New Roman"/>
                <w:sz w:val="21"/>
                <w:lang w:eastAsia="zh-CN"/>
              </w:rPr>
              <w:t>，</w:t>
            </w:r>
            <w:r>
              <w:rPr>
                <w:rFonts w:hint="eastAsia" w:ascii="Times New Roman" w:hAnsi="Times New Roman"/>
                <w:sz w:val="21"/>
              </w:rPr>
              <w:t>其总价</w:t>
            </w:r>
            <w:r>
              <w:rPr>
                <w:rFonts w:hint="eastAsia" w:ascii="Times New Roman" w:hAnsi="Times New Roman"/>
                <w:sz w:val="21"/>
                <w:lang w:eastAsia="zh-CN"/>
              </w:rPr>
              <w:t>（</w:t>
            </w:r>
            <w:r>
              <w:rPr>
                <w:rFonts w:hint="eastAsia" w:ascii="Times New Roman" w:hAnsi="Times New Roman"/>
                <w:sz w:val="21"/>
                <w:lang w:val="en-US" w:eastAsia="zh-CN"/>
              </w:rPr>
              <w:t>合计</w:t>
            </w:r>
            <w:r>
              <w:rPr>
                <w:rFonts w:hint="eastAsia" w:ascii="Times New Roman" w:hAnsi="Times New Roman"/>
                <w:sz w:val="21"/>
                <w:lang w:eastAsia="zh-CN"/>
              </w:rPr>
              <w:t>）</w:t>
            </w:r>
            <w:r>
              <w:rPr>
                <w:rFonts w:hint="eastAsia" w:ascii="Times New Roman" w:hAnsi="Times New Roman"/>
                <w:sz w:val="21"/>
              </w:rPr>
              <w:t>即为履行</w:t>
            </w:r>
            <w:r>
              <w:rPr>
                <w:rFonts w:hint="eastAsia" w:ascii="Times New Roman" w:hAnsi="Times New Roman"/>
                <w:sz w:val="21"/>
                <w:lang w:val="en-US" w:eastAsia="zh-CN"/>
              </w:rPr>
              <w:t>项目</w:t>
            </w:r>
            <w:r>
              <w:rPr>
                <w:rFonts w:hint="eastAsia" w:ascii="Times New Roman" w:hAnsi="Times New Roman"/>
                <w:sz w:val="21"/>
              </w:rPr>
              <w:t>的固定价格，包括</w:t>
            </w:r>
            <w:r>
              <w:rPr>
                <w:rFonts w:hint="eastAsia" w:ascii="Times New Roman" w:hAnsi="Times New Roman"/>
                <w:sz w:val="21"/>
                <w:lang w:val="en-US" w:eastAsia="zh-CN"/>
              </w:rPr>
              <w:t>材料及辅材、</w:t>
            </w:r>
            <w:r>
              <w:rPr>
                <w:rFonts w:hint="eastAsia" w:ascii="Times New Roman" w:hAnsi="Times New Roman"/>
                <w:sz w:val="21"/>
              </w:rPr>
              <w:t>运输、安装、</w:t>
            </w:r>
            <w:r>
              <w:rPr>
                <w:rFonts w:hint="eastAsia" w:ascii="Times New Roman" w:hAnsi="Times New Roman"/>
                <w:sz w:val="21"/>
                <w:lang w:val="en-US" w:eastAsia="zh-CN"/>
              </w:rPr>
              <w:t>拆除</w:t>
            </w:r>
            <w:r>
              <w:rPr>
                <w:rFonts w:hint="eastAsia" w:ascii="Times New Roman" w:hAnsi="Times New Roman"/>
                <w:sz w:val="21"/>
              </w:rPr>
              <w:t>、税金等一切费用。报价为一次报出不再更改的价格</w:t>
            </w:r>
            <w:r>
              <w:rPr>
                <w:rFonts w:hint="eastAsia" w:ascii="Times New Roman" w:hAnsi="Times New Roman"/>
                <w:sz w:val="21"/>
                <w:lang w:eastAsia="zh-CN"/>
              </w:rPr>
              <w:t>；</w:t>
            </w:r>
          </w:p>
          <w:p w14:paraId="4467C82B">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sz w:val="21"/>
                <w:szCs w:val="22"/>
                <w:lang w:val="en-US" w:eastAsia="zh-CN"/>
              </w:rPr>
            </w:pPr>
            <w:r>
              <w:rPr>
                <w:rFonts w:hint="eastAsia" w:ascii="Times New Roman" w:hAnsi="Times New Roman"/>
                <w:sz w:val="21"/>
                <w:lang w:val="en-US" w:eastAsia="zh-CN"/>
              </w:rPr>
              <w:t>②</w:t>
            </w:r>
            <w:r>
              <w:rPr>
                <w:rFonts w:hint="eastAsia" w:ascii="Times New Roman" w:hAnsi="Times New Roman"/>
                <w:sz w:val="21"/>
                <w:szCs w:val="24"/>
                <w:lang w:val="en-US" w:eastAsia="zh-CN"/>
              </w:rPr>
              <w:t>消防软管卷盘全套包含：进水管接口、锁箍、进水软管、出水软管、卷盘、水口接头、连接球阀、喷头、转臂、</w:t>
            </w:r>
            <w:r>
              <w:rPr>
                <w:rFonts w:hint="eastAsia" w:ascii="Times New Roman" w:hAnsi="Times New Roman"/>
                <w:sz w:val="21"/>
                <w:szCs w:val="22"/>
                <w:lang w:val="en-US" w:eastAsia="zh-CN"/>
              </w:rPr>
              <w:t>连接销、保险销；缠绕轴材质：Q235、弯管材质：Q235（镀铜）、固定轴材质：Q235（镀铜）、</w:t>
            </w:r>
            <w:r>
              <w:rPr>
                <w:rFonts w:hint="default" w:ascii="Times New Roman" w:hAnsi="Times New Roman"/>
                <w:sz w:val="21"/>
                <w:szCs w:val="22"/>
                <w:lang w:val="en-US" w:eastAsia="zh-CN"/>
              </w:rPr>
              <w:t>喷枪材质：ZCuZn38</w:t>
            </w:r>
            <w:r>
              <w:rPr>
                <w:rFonts w:hint="eastAsia" w:ascii="Times New Roman" w:hAnsi="Times New Roman"/>
                <w:sz w:val="21"/>
                <w:szCs w:val="22"/>
                <w:lang w:val="en-US" w:eastAsia="zh-CN"/>
              </w:rPr>
              <w:t>；具有3C认证；长度≥25米、软管内径：19mm、左右盘片外径：452±5mm、缠绕轴宽度：90±5mm；</w:t>
            </w:r>
          </w:p>
          <w:p w14:paraId="1ED80834">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sz w:val="21"/>
                <w:lang w:val="en-US" w:eastAsia="zh-CN"/>
              </w:rPr>
            </w:pPr>
            <w:r>
              <w:rPr>
                <w:rFonts w:hint="eastAsia" w:ascii="Times New Roman" w:hAnsi="Times New Roman"/>
                <w:sz w:val="21"/>
                <w:lang w:val="en-US" w:eastAsia="zh-CN"/>
              </w:rPr>
              <w:t>③消火栓箱铝合金门框全套包含：内门框、外门框、亚克力面板3mm、锁扣；</w:t>
            </w:r>
          </w:p>
          <w:p w14:paraId="2510FBA0">
            <w:pPr>
              <w:keepNext w:val="0"/>
              <w:keepLines w:val="0"/>
              <w:pageBreakBefore w:val="0"/>
              <w:widowControl w:val="0"/>
              <w:kinsoku/>
              <w:wordWrap/>
              <w:overflowPunct/>
              <w:topLinePunct w:val="0"/>
              <w:autoSpaceDE/>
              <w:autoSpaceDN/>
              <w:bidi w:val="0"/>
              <w:adjustRightInd/>
              <w:snapToGrid/>
              <w:jc w:val="left"/>
              <w:textAlignment w:val="auto"/>
              <w:rPr>
                <w:rFonts w:hint="default"/>
                <w:lang w:val="en-US" w:eastAsia="zh-CN"/>
              </w:rPr>
            </w:pPr>
            <w:r>
              <w:rPr>
                <w:rFonts w:hint="eastAsia" w:ascii="Times New Roman" w:hAnsi="Times New Roman"/>
                <w:sz w:val="21"/>
                <w:lang w:val="en-US" w:eastAsia="zh-CN"/>
              </w:rPr>
              <w:t>④供应商根据项目实际需求以及项目难易程度综合考量进行综合报价；</w:t>
            </w:r>
          </w:p>
        </w:tc>
      </w:tr>
      <w:tr w14:paraId="058018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000" w:type="pct"/>
            <w:gridSpan w:val="6"/>
            <w:tcBorders>
              <w:tl2br w:val="nil"/>
              <w:tr2bl w:val="nil"/>
            </w:tcBorders>
            <w:vAlign w:val="center"/>
          </w:tcPr>
          <w:p w14:paraId="26EB9305">
            <w:pPr>
              <w:rPr>
                <w:rFonts w:hint="eastAsia" w:asciiTheme="minorEastAsia" w:hAnsiTheme="minorEastAsia" w:eastAsiaTheme="minorEastAsia" w:cstheme="minorEastAsia"/>
                <w:b w:val="0"/>
                <w:bCs w:val="0"/>
                <w:sz w:val="21"/>
                <w:szCs w:val="21"/>
              </w:rPr>
            </w:pPr>
            <w:r>
              <w:rPr>
                <w:rFonts w:hint="eastAsia" w:asciiTheme="minorEastAsia" w:hAnsiTheme="minorEastAsia" w:cstheme="minorEastAsia"/>
                <w:b/>
                <w:bCs/>
                <w:sz w:val="21"/>
                <w:szCs w:val="21"/>
                <w:lang w:val="en-US" w:eastAsia="zh-CN"/>
              </w:rPr>
              <w:t>合计</w:t>
            </w:r>
            <w:r>
              <w:rPr>
                <w:rFonts w:hint="eastAsia" w:asciiTheme="minorEastAsia" w:hAnsiTheme="minorEastAsia" w:eastAsiaTheme="minorEastAsia" w:cstheme="minorEastAsia"/>
                <w:b/>
                <w:bCs/>
                <w:sz w:val="21"/>
                <w:szCs w:val="21"/>
              </w:rPr>
              <w:t xml:space="preserve">（人民币大写）： </w:t>
            </w:r>
            <w:r>
              <w:rPr>
                <w:rFonts w:hint="eastAsia" w:asciiTheme="minorEastAsia" w:hAnsiTheme="minorEastAsia" w:cstheme="minorEastAsia"/>
                <w:b/>
                <w:bCs/>
                <w:sz w:val="21"/>
                <w:szCs w:val="21"/>
                <w:lang w:val="en-US" w:eastAsia="zh-CN"/>
              </w:rPr>
              <w:t xml:space="preserve">                    合计</w:t>
            </w:r>
            <w:r>
              <w:rPr>
                <w:rFonts w:hint="eastAsia" w:asciiTheme="minorEastAsia" w:hAnsiTheme="minorEastAsia" w:eastAsiaTheme="minorEastAsia" w:cstheme="minorEastAsia"/>
                <w:b/>
                <w:bCs/>
                <w:sz w:val="21"/>
                <w:szCs w:val="21"/>
              </w:rPr>
              <w:t>（人民币小写）：</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元</w:t>
            </w:r>
          </w:p>
        </w:tc>
      </w:tr>
    </w:tbl>
    <w:p w14:paraId="34D06578">
      <w:pPr>
        <w:rPr>
          <w:rFonts w:hint="eastAsia"/>
          <w:sz w:val="28"/>
          <w:szCs w:val="28"/>
          <w:lang w:val="en-US" w:eastAsia="zh-CN"/>
        </w:rPr>
      </w:pPr>
    </w:p>
    <w:p w14:paraId="306C2C08">
      <w:pPr>
        <w:ind w:firstLine="1120" w:firstLineChars="400"/>
        <w:rPr>
          <w:rFonts w:hint="eastAsia"/>
          <w:sz w:val="28"/>
          <w:szCs w:val="28"/>
          <w:lang w:val="en-US" w:eastAsia="zh-CN"/>
        </w:rPr>
      </w:pPr>
    </w:p>
    <w:p w14:paraId="47F373B1">
      <w:pPr>
        <w:ind w:firstLine="1120" w:firstLineChars="400"/>
        <w:rPr>
          <w:rFonts w:hint="eastAsia"/>
          <w:sz w:val="28"/>
          <w:szCs w:val="28"/>
          <w:u w:val="single"/>
        </w:rPr>
      </w:pPr>
      <w:r>
        <w:rPr>
          <w:rFonts w:hint="eastAsia"/>
          <w:sz w:val="28"/>
          <w:szCs w:val="28"/>
          <w:lang w:val="en-US" w:eastAsia="zh-CN"/>
        </w:rPr>
        <w:t>单位名称（盖章）：</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33EB063B">
      <w:pPr>
        <w:ind w:firstLine="1120" w:firstLineChars="400"/>
        <w:rPr>
          <w:rFonts w:hint="default" w:eastAsiaTheme="minorEastAsia"/>
          <w:u w:val="single"/>
          <w:lang w:val="en-US" w:eastAsia="zh-CN"/>
        </w:rPr>
      </w:pPr>
      <w:r>
        <w:rPr>
          <w:rFonts w:hint="eastAsia"/>
          <w:sz w:val="28"/>
          <w:szCs w:val="28"/>
          <w:lang w:val="en-US" w:eastAsia="zh-CN"/>
        </w:rPr>
        <w:t>日           期：</w:t>
      </w:r>
      <w:r>
        <w:rPr>
          <w:rFonts w:hint="eastAsia"/>
          <w:sz w:val="28"/>
          <w:szCs w:val="28"/>
          <w:u w:val="single"/>
          <w:lang w:val="en-US" w:eastAsia="zh-CN"/>
        </w:rPr>
        <w:t xml:space="preserve"> </w:t>
      </w:r>
      <w:r>
        <w:rPr>
          <w:rFonts w:hint="eastAsia"/>
          <w:u w:val="single"/>
          <w:lang w:val="en-US" w:eastAsia="zh-CN"/>
        </w:rPr>
        <w:t xml:space="preserve">                                            </w:t>
      </w:r>
    </w:p>
    <w:p w14:paraId="5BEB63DE">
      <w:pPr>
        <w:rPr>
          <w:rFonts w:hint="default"/>
          <w:b/>
          <w:bCs/>
          <w:sz w:val="24"/>
          <w:szCs w:val="24"/>
          <w:u w:val="none"/>
          <w:lang w:val="en-US" w:eastAsia="zh-CN"/>
        </w:rPr>
      </w:pPr>
    </w:p>
    <w:p w14:paraId="0DA75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570AC7DA">
      <w:pPr>
        <w:bidi w:val="0"/>
        <w:rPr>
          <w:rFonts w:hint="eastAsia"/>
        </w:rPr>
      </w:pPr>
    </w:p>
    <w:p w14:paraId="589B98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1BfxlwzTvdQV9Was66qVLECjH0w=" w:salt="XRCLugych3FmlDW3ycbqr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6D1F"/>
    <w:rsid w:val="02F54FC6"/>
    <w:rsid w:val="030B2A3C"/>
    <w:rsid w:val="039E565E"/>
    <w:rsid w:val="03D64DF8"/>
    <w:rsid w:val="042F62B6"/>
    <w:rsid w:val="05EC445F"/>
    <w:rsid w:val="069F3BC7"/>
    <w:rsid w:val="07D57174"/>
    <w:rsid w:val="08585DDB"/>
    <w:rsid w:val="08C711B3"/>
    <w:rsid w:val="09061CDB"/>
    <w:rsid w:val="090715AF"/>
    <w:rsid w:val="09AF2373"/>
    <w:rsid w:val="09ED2E9B"/>
    <w:rsid w:val="0A375EC4"/>
    <w:rsid w:val="0A740EC6"/>
    <w:rsid w:val="0A8729A8"/>
    <w:rsid w:val="0BDA11FD"/>
    <w:rsid w:val="0C112E71"/>
    <w:rsid w:val="0C3B6140"/>
    <w:rsid w:val="0C564D28"/>
    <w:rsid w:val="0D58062B"/>
    <w:rsid w:val="0E344BF5"/>
    <w:rsid w:val="0E3E3CC5"/>
    <w:rsid w:val="0E686F94"/>
    <w:rsid w:val="0ED91C40"/>
    <w:rsid w:val="0F29227F"/>
    <w:rsid w:val="0F5F5CA1"/>
    <w:rsid w:val="0F9242C9"/>
    <w:rsid w:val="0F957915"/>
    <w:rsid w:val="10022AD1"/>
    <w:rsid w:val="116F4196"/>
    <w:rsid w:val="11C72224"/>
    <w:rsid w:val="11CE35B2"/>
    <w:rsid w:val="126B2BAF"/>
    <w:rsid w:val="14795A57"/>
    <w:rsid w:val="14885C9A"/>
    <w:rsid w:val="148B578A"/>
    <w:rsid w:val="150712B5"/>
    <w:rsid w:val="15A07014"/>
    <w:rsid w:val="16113A6D"/>
    <w:rsid w:val="163C4F8E"/>
    <w:rsid w:val="167F30CD"/>
    <w:rsid w:val="16E573D4"/>
    <w:rsid w:val="16EA2C3C"/>
    <w:rsid w:val="17DB4333"/>
    <w:rsid w:val="181B0BD3"/>
    <w:rsid w:val="187A7FF0"/>
    <w:rsid w:val="18956BD8"/>
    <w:rsid w:val="18B54B84"/>
    <w:rsid w:val="19793E03"/>
    <w:rsid w:val="19E73463"/>
    <w:rsid w:val="1A22449B"/>
    <w:rsid w:val="1AA66E7A"/>
    <w:rsid w:val="1AE654C9"/>
    <w:rsid w:val="1AF5570C"/>
    <w:rsid w:val="1BF105C9"/>
    <w:rsid w:val="1C6A3ED7"/>
    <w:rsid w:val="1CA23671"/>
    <w:rsid w:val="1CA27B15"/>
    <w:rsid w:val="1CBF2475"/>
    <w:rsid w:val="1CC7757C"/>
    <w:rsid w:val="1CFA16FF"/>
    <w:rsid w:val="1D187DD7"/>
    <w:rsid w:val="1D6372A4"/>
    <w:rsid w:val="1D7414B2"/>
    <w:rsid w:val="1E676920"/>
    <w:rsid w:val="1E892D3B"/>
    <w:rsid w:val="1E8E0351"/>
    <w:rsid w:val="1EC65D3D"/>
    <w:rsid w:val="1F0C571A"/>
    <w:rsid w:val="1F1F544D"/>
    <w:rsid w:val="1F2C36C6"/>
    <w:rsid w:val="1FB57B5F"/>
    <w:rsid w:val="1FC3227C"/>
    <w:rsid w:val="1FFC1515"/>
    <w:rsid w:val="1FFC753C"/>
    <w:rsid w:val="208E4638"/>
    <w:rsid w:val="20D81D57"/>
    <w:rsid w:val="213D1BBA"/>
    <w:rsid w:val="21A8797C"/>
    <w:rsid w:val="220F79FB"/>
    <w:rsid w:val="23A45F21"/>
    <w:rsid w:val="23C6058D"/>
    <w:rsid w:val="2503311B"/>
    <w:rsid w:val="25227A45"/>
    <w:rsid w:val="265A320F"/>
    <w:rsid w:val="2681079B"/>
    <w:rsid w:val="27247AA4"/>
    <w:rsid w:val="278E2C4A"/>
    <w:rsid w:val="27F440E8"/>
    <w:rsid w:val="28416434"/>
    <w:rsid w:val="28836A4D"/>
    <w:rsid w:val="2886653D"/>
    <w:rsid w:val="291D29FD"/>
    <w:rsid w:val="29622B06"/>
    <w:rsid w:val="2A9860B3"/>
    <w:rsid w:val="2BAA2542"/>
    <w:rsid w:val="2BB331A5"/>
    <w:rsid w:val="2C1D0F66"/>
    <w:rsid w:val="2CCA2E9C"/>
    <w:rsid w:val="2D320A41"/>
    <w:rsid w:val="2D9D410D"/>
    <w:rsid w:val="2DFD104F"/>
    <w:rsid w:val="2E5073D1"/>
    <w:rsid w:val="2EAD65D1"/>
    <w:rsid w:val="2FB120F1"/>
    <w:rsid w:val="2FDD4C94"/>
    <w:rsid w:val="31374878"/>
    <w:rsid w:val="31987CCA"/>
    <w:rsid w:val="323E5792"/>
    <w:rsid w:val="32690A61"/>
    <w:rsid w:val="32803FFD"/>
    <w:rsid w:val="329D070B"/>
    <w:rsid w:val="32D57EA5"/>
    <w:rsid w:val="332350B4"/>
    <w:rsid w:val="33ED121E"/>
    <w:rsid w:val="343230D5"/>
    <w:rsid w:val="346A286F"/>
    <w:rsid w:val="3579545F"/>
    <w:rsid w:val="36034D29"/>
    <w:rsid w:val="36107446"/>
    <w:rsid w:val="363475D8"/>
    <w:rsid w:val="366854D4"/>
    <w:rsid w:val="36A75FFC"/>
    <w:rsid w:val="36DE12F2"/>
    <w:rsid w:val="371D006C"/>
    <w:rsid w:val="377A54BF"/>
    <w:rsid w:val="37D56B99"/>
    <w:rsid w:val="382A0C93"/>
    <w:rsid w:val="384D2BD3"/>
    <w:rsid w:val="39A24859"/>
    <w:rsid w:val="39FC040D"/>
    <w:rsid w:val="3A064DE8"/>
    <w:rsid w:val="3B4007CD"/>
    <w:rsid w:val="3B6B584A"/>
    <w:rsid w:val="3B7D557D"/>
    <w:rsid w:val="3BDD7DCA"/>
    <w:rsid w:val="3C1F6635"/>
    <w:rsid w:val="3CBE5E4E"/>
    <w:rsid w:val="3D143CBF"/>
    <w:rsid w:val="3D4F4CF8"/>
    <w:rsid w:val="3D8C5F4C"/>
    <w:rsid w:val="3DA70690"/>
    <w:rsid w:val="3E495252"/>
    <w:rsid w:val="3EAF3CA0"/>
    <w:rsid w:val="3EC3599D"/>
    <w:rsid w:val="3EFB6EE5"/>
    <w:rsid w:val="3F0D4E6A"/>
    <w:rsid w:val="3F9A4950"/>
    <w:rsid w:val="3FD61700"/>
    <w:rsid w:val="40330901"/>
    <w:rsid w:val="40E96A40"/>
    <w:rsid w:val="41285F8B"/>
    <w:rsid w:val="412D70FE"/>
    <w:rsid w:val="41586871"/>
    <w:rsid w:val="415E19AD"/>
    <w:rsid w:val="42276243"/>
    <w:rsid w:val="42497F67"/>
    <w:rsid w:val="434846C3"/>
    <w:rsid w:val="443F7874"/>
    <w:rsid w:val="44450C02"/>
    <w:rsid w:val="44B00772"/>
    <w:rsid w:val="456F23DB"/>
    <w:rsid w:val="46AE0CE1"/>
    <w:rsid w:val="46DD15C6"/>
    <w:rsid w:val="46E22739"/>
    <w:rsid w:val="471F1BDF"/>
    <w:rsid w:val="47811F51"/>
    <w:rsid w:val="47F92430"/>
    <w:rsid w:val="48117779"/>
    <w:rsid w:val="48691363"/>
    <w:rsid w:val="48C42A3E"/>
    <w:rsid w:val="48FF5824"/>
    <w:rsid w:val="493E459E"/>
    <w:rsid w:val="49836455"/>
    <w:rsid w:val="4A2F038B"/>
    <w:rsid w:val="4A742241"/>
    <w:rsid w:val="4AB03279"/>
    <w:rsid w:val="4B7C13AE"/>
    <w:rsid w:val="4BC845F3"/>
    <w:rsid w:val="4C787DC7"/>
    <w:rsid w:val="4CE54D31"/>
    <w:rsid w:val="4D221AE1"/>
    <w:rsid w:val="4D9C1893"/>
    <w:rsid w:val="4E434405"/>
    <w:rsid w:val="4E8011B5"/>
    <w:rsid w:val="4E8862BB"/>
    <w:rsid w:val="4E9B1B4B"/>
    <w:rsid w:val="4EDD03B5"/>
    <w:rsid w:val="4FC155E1"/>
    <w:rsid w:val="50B74C36"/>
    <w:rsid w:val="50C3182D"/>
    <w:rsid w:val="510065DD"/>
    <w:rsid w:val="522B58DB"/>
    <w:rsid w:val="53071EA5"/>
    <w:rsid w:val="53204D14"/>
    <w:rsid w:val="536F17F8"/>
    <w:rsid w:val="53AE2320"/>
    <w:rsid w:val="5527238A"/>
    <w:rsid w:val="55450A62"/>
    <w:rsid w:val="55A21A11"/>
    <w:rsid w:val="55B41744"/>
    <w:rsid w:val="55FF50B5"/>
    <w:rsid w:val="564B02FA"/>
    <w:rsid w:val="56CD51B3"/>
    <w:rsid w:val="56E322E1"/>
    <w:rsid w:val="573A3ECB"/>
    <w:rsid w:val="580469B3"/>
    <w:rsid w:val="5923730C"/>
    <w:rsid w:val="5988716F"/>
    <w:rsid w:val="5DF9063C"/>
    <w:rsid w:val="5E8720EC"/>
    <w:rsid w:val="5E9640DD"/>
    <w:rsid w:val="5F3E6C4E"/>
    <w:rsid w:val="5F3F6522"/>
    <w:rsid w:val="60206354"/>
    <w:rsid w:val="61007F33"/>
    <w:rsid w:val="617C3A5E"/>
    <w:rsid w:val="618B3CA1"/>
    <w:rsid w:val="61926DDD"/>
    <w:rsid w:val="61CD250B"/>
    <w:rsid w:val="61F730E4"/>
    <w:rsid w:val="61FA4982"/>
    <w:rsid w:val="6252656D"/>
    <w:rsid w:val="62B80AC5"/>
    <w:rsid w:val="62E95123"/>
    <w:rsid w:val="6329551F"/>
    <w:rsid w:val="633640E0"/>
    <w:rsid w:val="644B7717"/>
    <w:rsid w:val="64607667"/>
    <w:rsid w:val="655A2308"/>
    <w:rsid w:val="65B65064"/>
    <w:rsid w:val="65FE7137"/>
    <w:rsid w:val="667473F9"/>
    <w:rsid w:val="668B64F1"/>
    <w:rsid w:val="669058B5"/>
    <w:rsid w:val="66974E96"/>
    <w:rsid w:val="67C1041C"/>
    <w:rsid w:val="68014CBD"/>
    <w:rsid w:val="682E182A"/>
    <w:rsid w:val="684150B9"/>
    <w:rsid w:val="68D67EF7"/>
    <w:rsid w:val="68D73C6F"/>
    <w:rsid w:val="69540E1C"/>
    <w:rsid w:val="69561038"/>
    <w:rsid w:val="696E6382"/>
    <w:rsid w:val="69D41F5D"/>
    <w:rsid w:val="6A356EA0"/>
    <w:rsid w:val="6B8974A3"/>
    <w:rsid w:val="6C1A634D"/>
    <w:rsid w:val="6C726189"/>
    <w:rsid w:val="6CF03552"/>
    <w:rsid w:val="6D5E670D"/>
    <w:rsid w:val="6E2F3C06"/>
    <w:rsid w:val="6E865F1C"/>
    <w:rsid w:val="6F060E0B"/>
    <w:rsid w:val="6F307C36"/>
    <w:rsid w:val="6FAB748D"/>
    <w:rsid w:val="6FDD7DBD"/>
    <w:rsid w:val="6FE54EC4"/>
    <w:rsid w:val="70D311C0"/>
    <w:rsid w:val="725D51E5"/>
    <w:rsid w:val="7318735E"/>
    <w:rsid w:val="731955B0"/>
    <w:rsid w:val="7379604F"/>
    <w:rsid w:val="737F73DD"/>
    <w:rsid w:val="745B5755"/>
    <w:rsid w:val="75954C96"/>
    <w:rsid w:val="75A66EA3"/>
    <w:rsid w:val="75AD0232"/>
    <w:rsid w:val="75BF7F65"/>
    <w:rsid w:val="765B5EE0"/>
    <w:rsid w:val="765E777E"/>
    <w:rsid w:val="781C169F"/>
    <w:rsid w:val="788449C2"/>
    <w:rsid w:val="78986F77"/>
    <w:rsid w:val="78EC1071"/>
    <w:rsid w:val="79556C16"/>
    <w:rsid w:val="79D20267"/>
    <w:rsid w:val="79E461EC"/>
    <w:rsid w:val="7A652E89"/>
    <w:rsid w:val="7AEC7106"/>
    <w:rsid w:val="7AEF4E49"/>
    <w:rsid w:val="7BBB4D2B"/>
    <w:rsid w:val="7C4F3DF1"/>
    <w:rsid w:val="7CD97B5E"/>
    <w:rsid w:val="7D0746CC"/>
    <w:rsid w:val="7D3923AB"/>
    <w:rsid w:val="7D8B70AB"/>
    <w:rsid w:val="7DD24CD9"/>
    <w:rsid w:val="7DD65E4C"/>
    <w:rsid w:val="7E094473"/>
    <w:rsid w:val="7E1075B0"/>
    <w:rsid w:val="7E4F632A"/>
    <w:rsid w:val="7E5F22E5"/>
    <w:rsid w:val="7F0F5AB9"/>
    <w:rsid w:val="7F286B7B"/>
    <w:rsid w:val="7F62208D"/>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aa2ffec3-b93c-4070-aaee-032894315fce</errorID>
      <errorWord>处罚金</errorWord>
      <group>L1_Word</group>
      <groupName>字词问题</groupName>
      <ability>L2_Typo</ability>
      <abilityName>字词错误</abilityName>
      <candidateList>
        <item>罚金</item>
      </candidateList>
      <explain/>
      <paraID>19CFE9E8</paraID>
      <start>201</start>
      <end>204</end>
      <status>unmodified</status>
      <modifiedWord/>
      <trackRevisions>false</trackRevisions>
    </reviewItem>
    <reviewItem>
      <errorID>c730ac73-1c93-4388-abcb-063bfdd83d54</errorID>
      <errorWord>鉴定</errorWord>
      <group>L1_Word</group>
      <groupName>字词问题</groupName>
      <ability>L2_Typo</ability>
      <abilityName>字词错误</abilityName>
      <candidateList>
        <item>检定</item>
      </candidateList>
      <explain/>
      <paraID> E7BE73A</paraID>
      <start>145</start>
      <end>147</end>
      <status>ignored</status>
      <modifiedWord/>
      <trackRevisions>false</trackRevisions>
    </reviewItem>
  </reviewItems>
  <config/>
</contractReview>
</file>

<file path=customXml/itemProps1.xml><?xml version="1.0" encoding="utf-8"?>
<ds:datastoreItem xmlns:ds="http://schemas.openxmlformats.org/officeDocument/2006/customXml" ds:itemID="{c4c8a2f4-024f-494b-9845-b36e51eeaa70}">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2854</Words>
  <Characters>2930</Characters>
  <Lines>0</Lines>
  <Paragraphs>0</Paragraphs>
  <TotalTime>37</TotalTime>
  <ScaleCrop>false</ScaleCrop>
  <LinksUpToDate>false</LinksUpToDate>
  <CharactersWithSpaces>3064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2026-01-08T03:55:00Z</dcterms:created>
  <dc:creator>消防科</dc:creator>
  <cp:lastModifiedBy>永不言弃</cp:lastModifiedBy>
  <dcterms:modified xsi:type="dcterms:W3CDTF">2026-01-09T04:36:35Z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FA22CED668724E7B918D9F1F63D99C17_12</vt:lpwstr>
  </property>
</Properties>
</file>